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6EAB" w14:textId="7F4A6DE6" w:rsidR="00A05D9D" w:rsidRPr="00A05D9D" w:rsidRDefault="00A05D9D" w:rsidP="00A05D9D">
      <w:pPr>
        <w:pStyle w:val="aramaic"/>
        <w:keepNext/>
        <w:widowControl w:val="0"/>
        <w:suppressAutoHyphens w:val="0"/>
        <w:bidi w:val="0"/>
        <w:spacing w:before="120" w:beforeAutospacing="0" w:afterAutospacing="0"/>
        <w:jc w:val="center"/>
        <w:rPr>
          <w:rFonts w:ascii="Gentium" w:hAnsi="Gentium" w:cs="Gentium"/>
          <w:noProof/>
          <w:u w:color="E034FB" w:themeColor="accent4" w:themeTint="99"/>
          <w:lang w:val="la-Latn"/>
        </w:rPr>
      </w:pPr>
      <w:r>
        <w:rPr>
          <w:rStyle w:val="chapternumber1"/>
          <w:rFonts w:ascii="Gentium" w:hAnsi="Gentium" w:cs="Gentium"/>
          <w:b/>
          <w:bCs/>
          <w:i/>
          <w:iCs/>
          <w:smallCaps/>
          <w:noProof/>
          <w:color w:val="auto"/>
          <w:sz w:val="32"/>
          <w:szCs w:val="32"/>
          <w:u w:val="single" w:color="E034FB" w:themeColor="accent4" w:themeTint="99"/>
          <w:lang w:val="la-Latn"/>
        </w:rPr>
        <w:t>Pastor</w:t>
      </w:r>
    </w:p>
    <w:p w14:paraId="686F04DA" w14:textId="77777777" w:rsidR="008A0E5B" w:rsidRPr="00A05D9D" w:rsidRDefault="008A0E5B" w:rsidP="008A0E5B">
      <w:pPr>
        <w:pStyle w:val="aramaic"/>
        <w:keepNext/>
        <w:widowControl w:val="0"/>
        <w:suppressAutoHyphens w:val="0"/>
        <w:bidi w:val="0"/>
        <w:spacing w:before="120" w:beforeAutospacing="0" w:afterAutospacing="0"/>
        <w:jc w:val="center"/>
        <w:rPr>
          <w:rFonts w:ascii="Gentium" w:hAnsi="Gentium" w:cs="Gentium"/>
          <w:noProof/>
          <w:u w:color="E034FB" w:themeColor="accent4" w:themeTint="99"/>
          <w:lang w:val="la-Latn"/>
        </w:rPr>
      </w:pPr>
      <w:r w:rsidRPr="00A05D9D">
        <w:rPr>
          <w:rFonts w:ascii="Gentium" w:hAnsi="Gentium" w:cs="Gentium"/>
          <w:b/>
          <w:bCs/>
          <w:i/>
          <w:iCs/>
          <w:smallCaps/>
          <w:noProof/>
          <w:sz w:val="32"/>
          <w:szCs w:val="32"/>
          <w:u w:val="single" w:color="E034FB" w:themeColor="accent4" w:themeTint="99"/>
          <w:lang w:val="la-Latn"/>
        </w:rPr>
        <w:t>Visio I</w:t>
      </w:r>
    </w:p>
    <w:p w14:paraId="061A1523" w14:textId="6DDAC67B" w:rsidR="008A0E5B" w:rsidRPr="00A05D9D" w:rsidRDefault="008A0E5B" w:rsidP="008A0E5B">
      <w:pPr>
        <w:pStyle w:val="aramaic"/>
        <w:keepNext/>
        <w:widowControl w:val="0"/>
        <w:suppressAutoHyphens w:val="0"/>
        <w:bidi w:val="0"/>
        <w:spacing w:before="120" w:beforeAutospacing="0" w:afterAutospacing="0"/>
        <w:jc w:val="center"/>
        <w:rPr>
          <w:rFonts w:ascii="Gentium" w:hAnsi="Gentium" w:cs="Gentium"/>
          <w:noProof/>
          <w:u w:color="E034FB" w:themeColor="accent4" w:themeTint="99"/>
          <w:lang w:val="la-Latn"/>
        </w:rPr>
      </w:pPr>
      <w:r w:rsidRPr="00A05D9D">
        <w:rPr>
          <w:rFonts w:ascii="Gentium" w:hAnsi="Gentium" w:cs="Gentium"/>
          <w:b/>
          <w:bCs/>
          <w:i/>
          <w:iCs/>
          <w:smallCaps/>
          <w:noProof/>
          <w:sz w:val="32"/>
          <w:szCs w:val="32"/>
          <w:u w:val="single" w:color="E034FB" w:themeColor="accent4" w:themeTint="99"/>
          <w:lang w:val="la-Latn"/>
        </w:rPr>
        <w:t>I</w:t>
      </w:r>
    </w:p>
    <w:p w14:paraId="08B57A28" w14:textId="77777777" w:rsidR="008A0E5B" w:rsidRDefault="008A0E5B" w:rsidP="008A0E5B">
      <w:pPr>
        <w:autoSpaceDE w:val="0"/>
        <w:autoSpaceDN w:val="0"/>
        <w:adjustRightInd w:val="0"/>
        <w:spacing w:before="120"/>
        <w:jc w:val="both"/>
        <w:rPr>
          <w:rFonts w:ascii="Gentium" w:eastAsia="DGMetaSerifScience-Bold" w:hAnsi="Gentium" w:cs="Gentium"/>
          <w:i/>
          <w:iCs/>
          <w:noProof/>
          <w:color w:val="0B5101" w:themeColor="accent1" w:themeShade="80"/>
          <w:sz w:val="28"/>
          <w:szCs w:val="28"/>
          <w:lang w:val="la-Latn" w:bidi="ar-SA"/>
        </w:rPr>
      </w:pPr>
      <w:r w:rsidRPr="008A0E5B">
        <w:rPr>
          <w:rFonts w:ascii="Gentium" w:eastAsia="DGMetaSerifScience-Bold" w:hAnsi="Gentium" w:cs="Gentium"/>
          <w:b/>
          <w:bCs/>
          <w:i/>
          <w:iCs/>
          <w:noProof/>
          <w:color w:val="00B0F0"/>
          <w:sz w:val="28"/>
          <w:szCs w:val="28"/>
          <w:vertAlign w:val="superscript"/>
          <w:lang w:val="la-Latn" w:bidi="ar-SA"/>
        </w:rPr>
        <w:t>1</w:t>
      </w:r>
      <w:r w:rsidRPr="008A0E5B">
        <w:rPr>
          <w:rFonts w:ascii="Gentium" w:eastAsia="DGMetaSerifScience-Bold" w:hAnsi="Gentium" w:cs="Gentium"/>
          <w:i/>
          <w:iCs/>
          <w:noProof/>
          <w:color w:val="00B0F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Qui enutrierat me vendidit quandam puellam Romae; post multos</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annos hanc ego cognovi et</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 xml:space="preserve">coepi eam diligere ut sororem. </w:t>
      </w:r>
      <w:r w:rsidR="00A05D9D" w:rsidRPr="008A0E5B">
        <w:rPr>
          <w:rFonts w:ascii="Gentium" w:eastAsia="DGMetaSerifScience-Bold" w:hAnsi="Gentium" w:cs="Gentium"/>
          <w:b/>
          <w:bCs/>
          <w:i/>
          <w:iCs/>
          <w:noProof/>
          <w:color w:val="00B0F0"/>
          <w:sz w:val="28"/>
          <w:szCs w:val="28"/>
          <w:vertAlign w:val="superscript"/>
          <w:lang w:val="la-Latn" w:bidi="ar-SA"/>
        </w:rPr>
        <w:t>2</w:t>
      </w:r>
      <w:r w:rsidRPr="008A0E5B">
        <w:rPr>
          <w:rFonts w:ascii="Gentium" w:eastAsia="DGMetaSerifScience-Bold" w:hAnsi="Gentium" w:cs="Gentium"/>
          <w:i/>
          <w:iCs/>
          <w:noProof/>
          <w:color w:val="00B0F0"/>
          <w:sz w:val="28"/>
          <w:szCs w:val="28"/>
          <w:lang w:val="la-Latn" w:bidi="ar-SA"/>
        </w:rPr>
        <w:t> </w:t>
      </w:r>
      <w:r w:rsidR="00A05D9D" w:rsidRPr="008A0E5B">
        <w:rPr>
          <w:rFonts w:ascii="Gentium" w:eastAsia="DGMetaSerifScience-Bold" w:hAnsi="Gentium" w:cs="Gentium"/>
          <w:i/>
          <w:iCs/>
          <w:noProof/>
          <w:color w:val="0B5101" w:themeColor="accent1" w:themeShade="80"/>
          <w:sz w:val="28"/>
          <w:szCs w:val="28"/>
          <w:lang w:val="la-Latn" w:bidi="ar-SA"/>
        </w:rPr>
        <w:t>Post tempus</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aliquod lavari eam in flumine Tiberi vidi et porrexi ei manum et eduxi eam de</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flumine.</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Visaque ea dixi: Felix essem, si talem uxorem haberem.</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Et speciem cum</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vidissem, cogitabam in corde meo dicens: Felix essem, si talem uxorem haberem et</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 xml:space="preserve">specie et moribus. Hoc solum cogitavi, nec ultra aliquid cogitavi. </w:t>
      </w:r>
      <w:r w:rsidR="00A05D9D" w:rsidRPr="008A0E5B">
        <w:rPr>
          <w:rFonts w:ascii="Gentium" w:eastAsia="DGMetaSerifScience-Bold" w:hAnsi="Gentium" w:cs="Gentium"/>
          <w:b/>
          <w:bCs/>
          <w:i/>
          <w:iCs/>
          <w:noProof/>
          <w:color w:val="00B0F0"/>
          <w:sz w:val="28"/>
          <w:szCs w:val="28"/>
          <w:vertAlign w:val="superscript"/>
          <w:lang w:val="la-Latn" w:bidi="ar-SA"/>
        </w:rPr>
        <w:t>3</w:t>
      </w:r>
      <w:r w:rsidRPr="008A0E5B">
        <w:rPr>
          <w:rFonts w:ascii="Gentium" w:eastAsia="DGMetaSerifScience-Bold" w:hAnsi="Gentium" w:cs="Gentium"/>
          <w:i/>
          <w:iCs/>
          <w:noProof/>
          <w:color w:val="00B0F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Post tempus</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aliquod, proficiscens cum his cogitationibus et</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honorificans creaturam dei, quam</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magnificae et pulcherrimae sint, et dum ambulo, obdormivi. Et spiritus me rapuit</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et tulit me per quendam locum ad dexteram, per quem non poterat homo iter</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facere. Erat autem locus ille in rupibus et abruptus ab aquis. Cumque transissem</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locum illum, veni ad planitiem et genibus positis coepi orare dominum et confiteri</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 xml:space="preserve">peccata mea. </w:t>
      </w:r>
      <w:r w:rsidR="00A05D9D" w:rsidRPr="008A0E5B">
        <w:rPr>
          <w:rFonts w:ascii="Gentium" w:eastAsia="DGMetaSerifScience-Bold" w:hAnsi="Gentium" w:cs="Gentium"/>
          <w:b/>
          <w:bCs/>
          <w:i/>
          <w:iCs/>
          <w:noProof/>
          <w:color w:val="00B0F0"/>
          <w:sz w:val="28"/>
          <w:szCs w:val="28"/>
          <w:vertAlign w:val="superscript"/>
          <w:lang w:val="la-Latn" w:bidi="ar-SA"/>
        </w:rPr>
        <w:t>4</w:t>
      </w:r>
      <w:r w:rsidRPr="008A0E5B">
        <w:rPr>
          <w:rFonts w:ascii="Gentium" w:eastAsia="DGMetaSerifScience-Bold" w:hAnsi="Gentium" w:cs="Gentium"/>
          <w:i/>
          <w:iCs/>
          <w:noProof/>
          <w:color w:val="00B0F0"/>
          <w:sz w:val="28"/>
          <w:szCs w:val="28"/>
          <w:lang w:val="la-Latn" w:bidi="ar-SA"/>
        </w:rPr>
        <w:t> </w:t>
      </w:r>
      <w:r w:rsidR="00A05D9D" w:rsidRPr="008A0E5B">
        <w:rPr>
          <w:rFonts w:ascii="Gentium" w:eastAsia="DGMetaSerifScience-Bold" w:hAnsi="Gentium" w:cs="Gentium"/>
          <w:i/>
          <w:iCs/>
          <w:noProof/>
          <w:color w:val="0B5101" w:themeColor="accent1" w:themeShade="80"/>
          <w:sz w:val="28"/>
          <w:szCs w:val="28"/>
          <w:lang w:val="la-Latn" w:bidi="ar-SA"/>
        </w:rPr>
        <w:t>Et orante me apertum est caelum, et video mulierem illam quam</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 xml:space="preserve">concupieram salutantem me de caelo et dicentem: Herma, ave. </w:t>
      </w:r>
      <w:r w:rsidR="00A05D9D" w:rsidRPr="008A0E5B">
        <w:rPr>
          <w:rFonts w:ascii="Gentium" w:eastAsia="DGMetaSerifScience-Bold" w:hAnsi="Gentium" w:cs="Gentium"/>
          <w:b/>
          <w:bCs/>
          <w:i/>
          <w:iCs/>
          <w:noProof/>
          <w:color w:val="00B0F0"/>
          <w:sz w:val="28"/>
          <w:szCs w:val="28"/>
          <w:vertAlign w:val="superscript"/>
          <w:lang w:val="la-Latn" w:bidi="ar-SA"/>
        </w:rPr>
        <w:t>5</w:t>
      </w:r>
      <w:r w:rsidRPr="008A0E5B">
        <w:rPr>
          <w:rFonts w:ascii="Gentium" w:eastAsia="DGMetaSerifScience-Bold" w:hAnsi="Gentium" w:cs="Gentium"/>
          <w:i/>
          <w:iCs/>
          <w:noProof/>
          <w:color w:val="00B0F0"/>
          <w:sz w:val="28"/>
          <w:szCs w:val="28"/>
          <w:lang w:val="la-Latn" w:bidi="ar-SA"/>
        </w:rPr>
        <w:t> </w:t>
      </w:r>
      <w:r w:rsidR="00A05D9D" w:rsidRPr="008A0E5B">
        <w:rPr>
          <w:rFonts w:ascii="Gentium" w:eastAsia="DGMetaSerifScience-Bold" w:hAnsi="Gentium" w:cs="Gentium"/>
          <w:i/>
          <w:iCs/>
          <w:noProof/>
          <w:color w:val="0B5101" w:themeColor="accent1" w:themeShade="80"/>
          <w:sz w:val="28"/>
          <w:szCs w:val="28"/>
          <w:lang w:val="la-Latn" w:bidi="ar-SA"/>
        </w:rPr>
        <w:t>Et ego</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prospiciens illam dico ei: Domina, quid tu hic facis ? At illa respondit mihi:</w:t>
      </w:r>
      <w:r w:rsidRPr="008A0E5B">
        <w:rPr>
          <w:rFonts w:ascii="Gentium" w:eastAsia="DGMetaSerifScience-Bold" w:hAnsi="Gentium" w:cs="Gentium"/>
          <w:i/>
          <w:iCs/>
          <w:noProof/>
          <w:color w:val="0B5101" w:themeColor="accent1" w:themeShade="80"/>
          <w:sz w:val="28"/>
          <w:szCs w:val="28"/>
          <w:lang w:val="la-Latn" w:bidi="ar-SA"/>
        </w:rPr>
        <w:t xml:space="preserve"> </w:t>
      </w:r>
      <w:r w:rsidR="00A05D9D" w:rsidRPr="008A0E5B">
        <w:rPr>
          <w:rFonts w:ascii="Gentium" w:eastAsia="DGMetaSerifScience-Bold" w:hAnsi="Gentium" w:cs="Gentium"/>
          <w:i/>
          <w:iCs/>
          <w:noProof/>
          <w:color w:val="0B5101" w:themeColor="accent1" w:themeShade="80"/>
          <w:sz w:val="28"/>
          <w:szCs w:val="28"/>
          <w:lang w:val="la-Latn" w:bidi="ar-SA"/>
        </w:rPr>
        <w:t>Recepta sum ut peccata tua arguam ad dominum.</w:t>
      </w:r>
    </w:p>
    <w:p w14:paraId="1B337A1D" w14:textId="634FD544" w:rsidR="008A0E5B" w:rsidRPr="008A0E5B" w:rsidRDefault="008A0E5B" w:rsidP="008A0E5B">
      <w:pPr>
        <w:autoSpaceDE w:val="0"/>
        <w:autoSpaceDN w:val="0"/>
        <w:adjustRightInd w:val="0"/>
        <w:spacing w:before="120"/>
        <w:jc w:val="both"/>
        <w:rPr>
          <w:rFonts w:ascii="Gentium" w:eastAsia="DGMetaSerifScience-Bold" w:hAnsi="Gentium" w:cs="Gentium"/>
          <w:i/>
          <w:iCs/>
          <w:noProof/>
          <w:color w:val="0B5101" w:themeColor="accent1" w:themeShade="80"/>
          <w:sz w:val="28"/>
          <w:szCs w:val="28"/>
          <w:rtl/>
          <w:lang w:val="la-Latn" w:bidi="ar-SA"/>
        </w:rPr>
      </w:pPr>
      <w:r w:rsidRPr="008A0E5B">
        <w:rPr>
          <w:rFonts w:ascii="Gentium" w:eastAsia="DGMetaSerifScience-Bold" w:hAnsi="Gentium" w:cs="Gentium"/>
          <w:i/>
          <w:iCs/>
          <w:noProof/>
          <w:color w:val="00B0F0"/>
          <w:sz w:val="28"/>
          <w:szCs w:val="28"/>
          <w:vertAlign w:val="superscript"/>
          <w:lang w:val="la-Latn" w:bidi="ar-SA"/>
        </w:rPr>
        <w:t>6</w:t>
      </w:r>
      <w:r w:rsidRPr="008A0E5B">
        <w:rPr>
          <w:rFonts w:ascii="Gentium" w:eastAsia="DGMetaSerifScience-Bold" w:hAnsi="Gentium" w:cs="Gentium"/>
          <w:i/>
          <w:iCs/>
          <w:noProof/>
          <w:color w:val="00B0F0"/>
          <w:sz w:val="28"/>
          <w:szCs w:val="28"/>
          <w:lang w:val="la-Latn" w:bidi="ar-SA"/>
        </w:rPr>
        <w:t> </w:t>
      </w:r>
      <w:r w:rsidRPr="008A0E5B">
        <w:rPr>
          <w:rFonts w:ascii="Gentium" w:eastAsia="DGMetaSerifScience-Bold" w:hAnsi="Gentium" w:cs="Gentium"/>
          <w:i/>
          <w:iCs/>
          <w:noProof/>
          <w:color w:val="0B5101" w:themeColor="accent1" w:themeShade="80"/>
          <w:sz w:val="28"/>
          <w:szCs w:val="28"/>
          <w:lang w:val="la-Latn" w:bidi="ar-SA"/>
        </w:rPr>
        <w:t xml:space="preserve">Dico ei: Domina nuncb tu me argues? Non, inquit, sed audi verba quae tibi incipio dicere: deus, qui in caelis habitat et condidit ex nihilo ea quae sunt et multiplicavit propter sanctam ecclesiam suam, irascitur tibi quoniam peccasti in me. </w:t>
      </w:r>
      <w:r w:rsidRPr="008A0E5B">
        <w:rPr>
          <w:rFonts w:ascii="Gentium" w:eastAsia="DGMetaSerifScience-Bold" w:hAnsi="Gentium" w:cs="Gentium"/>
          <w:i/>
          <w:iCs/>
          <w:noProof/>
          <w:color w:val="00B0F0"/>
          <w:sz w:val="28"/>
          <w:szCs w:val="28"/>
          <w:vertAlign w:val="superscript"/>
          <w:lang w:val="la-Latn" w:bidi="ar-SA"/>
        </w:rPr>
        <w:t>7</w:t>
      </w:r>
      <w:r w:rsidRPr="008A0E5B">
        <w:rPr>
          <w:rFonts w:ascii="Gentium" w:eastAsia="DGMetaSerifScience-Bold" w:hAnsi="Gentium" w:cs="Gentium"/>
          <w:i/>
          <w:iCs/>
          <w:noProof/>
          <w:color w:val="00B0F0"/>
          <w:sz w:val="28"/>
          <w:szCs w:val="28"/>
          <w:lang w:val="la-Latn" w:bidi="ar-SA"/>
        </w:rPr>
        <w:t> </w:t>
      </w:r>
      <w:r w:rsidRPr="008A0E5B">
        <w:rPr>
          <w:rFonts w:ascii="Gentium" w:eastAsia="DGMetaSerifScience-Bold" w:hAnsi="Gentium" w:cs="Gentium"/>
          <w:i/>
          <w:iCs/>
          <w:noProof/>
          <w:color w:val="0B5101" w:themeColor="accent1" w:themeShade="80"/>
          <w:sz w:val="28"/>
          <w:szCs w:val="28"/>
          <w:lang w:val="la-Latn" w:bidi="ar-SA"/>
        </w:rPr>
        <w:t xml:space="preserve">Respondens dico ei: Domina, si ego in te peccavi, ubi, aut in quo loco, aut quando tibi turpe verbum locutus sum? Non semper te ac si deam arbitratus sum? Non semper reveritus velut sororem? Quid fmeif commentiris, mulier , haec tam nefanda? </w:t>
      </w:r>
      <w:r w:rsidRPr="008A0E5B">
        <w:rPr>
          <w:rFonts w:ascii="Gentium" w:eastAsia="DGMetaSerifScience-Bold" w:hAnsi="Gentium" w:cs="Gentium"/>
          <w:i/>
          <w:iCs/>
          <w:noProof/>
          <w:color w:val="00B0F0"/>
          <w:sz w:val="28"/>
          <w:szCs w:val="28"/>
          <w:vertAlign w:val="superscript"/>
          <w:lang w:val="la-Latn" w:bidi="ar-SA"/>
        </w:rPr>
        <w:t>8</w:t>
      </w:r>
      <w:r w:rsidRPr="008A0E5B">
        <w:rPr>
          <w:rFonts w:ascii="Gentium" w:eastAsia="DGMetaSerifScience-Bold" w:hAnsi="Gentium" w:cs="Gentium"/>
          <w:i/>
          <w:iCs/>
          <w:noProof/>
          <w:color w:val="00B0F0"/>
          <w:sz w:val="28"/>
          <w:szCs w:val="28"/>
          <w:lang w:val="la-Latn" w:bidi="ar-SA"/>
        </w:rPr>
        <w:t> </w:t>
      </w:r>
      <w:r w:rsidRPr="008A0E5B">
        <w:rPr>
          <w:rFonts w:ascii="Gentium" w:eastAsia="DGMetaSerifScience-Bold" w:hAnsi="Gentium" w:cs="Gentium"/>
          <w:i/>
          <w:iCs/>
          <w:noProof/>
          <w:color w:val="0B5101" w:themeColor="accent1" w:themeShade="80"/>
          <w:sz w:val="28"/>
          <w:szCs w:val="28"/>
          <w:lang w:val="la-Latn" w:bidi="ar-SA"/>
        </w:rPr>
        <w:t xml:space="preserve">Tunc illa arridens mihi ait: In corde tuo ascendit concupiscentia nequitiae. Aut non videtur tibi viro iusto saevam rem esse si ascenderit in corde illius mala concupiscentia? Peccatum est ei et quidem magnum. Iustus enim vir fiustaf cogitat. Cogitando ergo illum ea quae iusta sunt et recte ingrediente eum in caelis propitium habebit dominum in omni negotio suo. Qui autem nefanda cogitant in cordibus suis, mortem et captivitatem sibi assumunt, maxime hi qui saeculum hoc diligunt et gloriantur in divitiis suis. Et qui non expectant bona futura, </w:t>
      </w:r>
      <w:r w:rsidRPr="008A0E5B">
        <w:rPr>
          <w:rFonts w:ascii="Gentium" w:eastAsia="DGMetaSerifScience-Bold" w:hAnsi="Gentium" w:cs="Gentium"/>
          <w:i/>
          <w:iCs/>
          <w:noProof/>
          <w:color w:val="00B0F0"/>
          <w:sz w:val="28"/>
          <w:szCs w:val="28"/>
          <w:vertAlign w:val="superscript"/>
          <w:lang w:val="la-Latn" w:bidi="ar-SA"/>
        </w:rPr>
        <w:t>9</w:t>
      </w:r>
      <w:r w:rsidRPr="008A0E5B">
        <w:rPr>
          <w:rFonts w:ascii="Gentium" w:eastAsia="DGMetaSerifScience-Bold" w:hAnsi="Gentium" w:cs="Gentium"/>
          <w:i/>
          <w:iCs/>
          <w:noProof/>
          <w:color w:val="00B0F0"/>
          <w:sz w:val="28"/>
          <w:szCs w:val="28"/>
          <w:lang w:val="la-Latn" w:bidi="ar-SA"/>
        </w:rPr>
        <w:t> </w:t>
      </w:r>
      <w:r w:rsidRPr="008A0E5B">
        <w:rPr>
          <w:rFonts w:ascii="Gentium" w:eastAsia="DGMetaSerifScience-Bold" w:hAnsi="Gentium" w:cs="Gentium"/>
          <w:i/>
          <w:iCs/>
          <w:noProof/>
          <w:color w:val="0B5101" w:themeColor="accent1" w:themeShade="80"/>
          <w:sz w:val="28"/>
          <w:szCs w:val="28"/>
          <w:lang w:val="la-Latn" w:bidi="ar-SA"/>
        </w:rPr>
        <w:t>vagantur  animae  illorum. Haec autem faciunt dubii, qui non habent spem in deo, et contemnunt et neglegunt vitam suam. Sed tu ora ad dominum, et sanabit peccata tua totiusque domus tuae et omnium sanctorum.</w:t>
      </w:r>
    </w:p>
    <w:p w14:paraId="71B08C15" w14:textId="77777777" w:rsidR="0021047C" w:rsidRDefault="0021047C" w:rsidP="0021047C">
      <w:pPr>
        <w:pStyle w:val="aramaic"/>
        <w:keepNext/>
        <w:widowControl w:val="0"/>
        <w:suppressAutoHyphens w:val="0"/>
        <w:bidi w:val="0"/>
        <w:spacing w:before="120" w:beforeAutospacing="0" w:afterAutospacing="0"/>
        <w:jc w:val="center"/>
        <w:rPr>
          <w:rFonts w:ascii="Gentium" w:hAnsi="Gentium" w:cs="Gentium"/>
          <w:b/>
          <w:bCs/>
          <w:i/>
          <w:iCs/>
          <w:smallCaps/>
          <w:noProof/>
          <w:sz w:val="32"/>
          <w:szCs w:val="32"/>
          <w:u w:val="single" w:color="E034FB" w:themeColor="accent4" w:themeTint="99"/>
          <w:lang w:val="la-Latn"/>
        </w:rPr>
        <w:sectPr w:rsidR="0021047C" w:rsidSect="0021047C">
          <w:type w:val="continuous"/>
          <w:pgSz w:w="16838" w:h="11906" w:orient="landscape"/>
          <w:pgMar w:top="1418" w:right="1418" w:bottom="1418" w:left="1418" w:header="0" w:footer="0" w:gutter="0"/>
          <w:cols w:space="720"/>
          <w:formProt w:val="0"/>
          <w:docGrid w:linePitch="600" w:charSpace="40960"/>
        </w:sectPr>
      </w:pPr>
    </w:p>
    <w:p w14:paraId="1CFAFAB7" w14:textId="77777777" w:rsidR="0021047C" w:rsidRPr="00A05D9D" w:rsidRDefault="0021047C" w:rsidP="0021047C">
      <w:pPr>
        <w:pStyle w:val="aramaic"/>
        <w:keepNext/>
        <w:widowControl w:val="0"/>
        <w:suppressAutoHyphens w:val="0"/>
        <w:bidi w:val="0"/>
        <w:spacing w:before="120" w:beforeAutospacing="0" w:afterAutospacing="0"/>
        <w:jc w:val="center"/>
        <w:rPr>
          <w:rFonts w:ascii="Gentium" w:hAnsi="Gentium" w:cs="Gentium"/>
          <w:noProof/>
          <w:u w:color="E034FB" w:themeColor="accent4" w:themeTint="99"/>
          <w:lang w:val="la-Latn"/>
        </w:rPr>
      </w:pPr>
      <w:r w:rsidRPr="00A05D9D">
        <w:rPr>
          <w:rFonts w:ascii="Gentium" w:hAnsi="Gentium" w:cs="Gentium"/>
          <w:b/>
          <w:bCs/>
          <w:i/>
          <w:iCs/>
          <w:smallCaps/>
          <w:noProof/>
          <w:sz w:val="32"/>
          <w:szCs w:val="32"/>
          <w:u w:val="single" w:color="E034FB" w:themeColor="accent4" w:themeTint="99"/>
          <w:lang w:val="la-Latn"/>
        </w:rPr>
        <w:lastRenderedPageBreak/>
        <w:t>I</w:t>
      </w:r>
      <w:r>
        <w:rPr>
          <w:rFonts w:ascii="Gentium" w:hAnsi="Gentium" w:cs="Gentium"/>
          <w:b/>
          <w:bCs/>
          <w:i/>
          <w:iCs/>
          <w:smallCaps/>
          <w:noProof/>
          <w:sz w:val="32"/>
          <w:szCs w:val="32"/>
          <w:u w:val="single" w:color="E034FB" w:themeColor="accent4" w:themeTint="99"/>
          <w:lang w:val="la-Latn"/>
        </w:rPr>
        <w:t>I</w:t>
      </w:r>
    </w:p>
    <w:p w14:paraId="63710656" w14:textId="76CB75B3" w:rsidR="0021047C" w:rsidRDefault="00A265A2" w:rsidP="00A265A2">
      <w:pPr>
        <w:autoSpaceDE w:val="0"/>
        <w:autoSpaceDN w:val="0"/>
        <w:adjustRightInd w:val="0"/>
        <w:spacing w:before="120"/>
        <w:jc w:val="center"/>
        <w:rPr>
          <w:rFonts w:ascii="Gentium" w:eastAsia="DGMetaSerifScience-Bold" w:hAnsi="Gentium" w:cs="Gentium"/>
          <w:i/>
          <w:iCs/>
          <w:noProof/>
          <w:color w:val="0B5101" w:themeColor="accent1" w:themeShade="80"/>
          <w:sz w:val="28"/>
          <w:szCs w:val="28"/>
          <w:lang w:val="la-Latn" w:bidi="ar-SA"/>
        </w:rPr>
      </w:pPr>
      <w:r>
        <w:rPr>
          <w:rFonts w:ascii="Gentium" w:eastAsia="DGMetaSerifScience-Bold" w:hAnsi="Gentium" w:cs="Gentium"/>
          <w:i/>
          <w:iCs/>
          <w:noProof/>
          <w:color w:val="0B5101" w:themeColor="accent1" w:themeShade="80"/>
          <w:sz w:val="28"/>
          <w:szCs w:val="28"/>
          <w:lang w:val="la-Latn" w:bidi="ar-SA"/>
        </w:rPr>
        <w:t>(The digitsation of the remainder of this text is a work-in-progress)</w:t>
      </w:r>
    </w:p>
    <w:p w14:paraId="020CF281" w14:textId="77777777" w:rsidR="0021047C" w:rsidRDefault="0021047C" w:rsidP="00A265A2">
      <w:pPr>
        <w:pStyle w:val="aramaic"/>
        <w:keepNext/>
        <w:widowControl w:val="0"/>
        <w:suppressAutoHyphens w:val="0"/>
        <w:bidi w:val="0"/>
        <w:spacing w:before="120" w:beforeAutospacing="0" w:afterAutospacing="0"/>
        <w:rPr>
          <w:rFonts w:ascii="Gentium" w:hAnsi="Gentium" w:cs="Gentium"/>
          <w:b/>
          <w:bCs/>
          <w:i/>
          <w:iCs/>
          <w:smallCaps/>
          <w:noProof/>
          <w:sz w:val="32"/>
          <w:szCs w:val="32"/>
          <w:u w:val="single" w:color="E034FB" w:themeColor="accent4" w:themeTint="99"/>
          <w:lang w:val="la-Latn"/>
        </w:rPr>
        <w:sectPr w:rsidR="0021047C" w:rsidSect="0021047C">
          <w:type w:val="continuous"/>
          <w:pgSz w:w="16838" w:h="11906" w:orient="landscape"/>
          <w:pgMar w:top="1418" w:right="1418" w:bottom="1418" w:left="1418" w:header="0" w:footer="0" w:gutter="0"/>
          <w:cols w:space="720"/>
          <w:formProt w:val="0"/>
          <w:docGrid w:linePitch="600" w:charSpace="40960"/>
        </w:sectPr>
      </w:pPr>
    </w:p>
    <w:p w14:paraId="67C5E0D4" w14:textId="766F3A27" w:rsidR="00A05D9D" w:rsidRPr="00A05D9D" w:rsidRDefault="00A05D9D" w:rsidP="00A05D9D">
      <w:pPr>
        <w:pStyle w:val="aramaic"/>
        <w:suppressAutoHyphens w:val="0"/>
        <w:bidi w:val="0"/>
        <w:spacing w:before="120" w:beforeAutospacing="0" w:afterAutospacing="0"/>
        <w:jc w:val="both"/>
        <w:rPr>
          <w:rFonts w:ascii="Gentium" w:hAnsi="Gentium" w:cs="Gentium"/>
          <w:noProof/>
          <w:color w:val="117A02" w:themeColor="accent1" w:themeShade="BF"/>
          <w:rtl/>
          <w:lang w:val="la-Latn"/>
        </w:rPr>
      </w:pPr>
    </w:p>
    <w:sectPr w:rsidR="00A05D9D" w:rsidRPr="00A05D9D">
      <w:type w:val="continuous"/>
      <w:pgSz w:w="16838" w:h="11906" w:orient="landscape"/>
      <w:pgMar w:top="1418" w:right="1418" w:bottom="1418" w:left="1418"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DGMetaSerifScience-Bold">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E5D0D"/>
    <w:rsid w:val="0009024E"/>
    <w:rsid w:val="001303D3"/>
    <w:rsid w:val="0016312B"/>
    <w:rsid w:val="001D228D"/>
    <w:rsid w:val="002057A9"/>
    <w:rsid w:val="0021047C"/>
    <w:rsid w:val="00221BBC"/>
    <w:rsid w:val="002239B2"/>
    <w:rsid w:val="00254133"/>
    <w:rsid w:val="00293E6A"/>
    <w:rsid w:val="00320A39"/>
    <w:rsid w:val="00322F90"/>
    <w:rsid w:val="00373702"/>
    <w:rsid w:val="0037773C"/>
    <w:rsid w:val="00384BC4"/>
    <w:rsid w:val="003F32AF"/>
    <w:rsid w:val="004338B2"/>
    <w:rsid w:val="00433968"/>
    <w:rsid w:val="00453E83"/>
    <w:rsid w:val="004A41DC"/>
    <w:rsid w:val="004F5FB8"/>
    <w:rsid w:val="0067219E"/>
    <w:rsid w:val="006E296F"/>
    <w:rsid w:val="007A1BF9"/>
    <w:rsid w:val="00875ECA"/>
    <w:rsid w:val="0089423E"/>
    <w:rsid w:val="008A0E5B"/>
    <w:rsid w:val="008E0257"/>
    <w:rsid w:val="00907BD3"/>
    <w:rsid w:val="00942EA7"/>
    <w:rsid w:val="009B06A7"/>
    <w:rsid w:val="009B71E9"/>
    <w:rsid w:val="009E777A"/>
    <w:rsid w:val="00A03613"/>
    <w:rsid w:val="00A05D9D"/>
    <w:rsid w:val="00A2072F"/>
    <w:rsid w:val="00A2127B"/>
    <w:rsid w:val="00A265A2"/>
    <w:rsid w:val="00A50957"/>
    <w:rsid w:val="00A53BAF"/>
    <w:rsid w:val="00A57DED"/>
    <w:rsid w:val="00B463F3"/>
    <w:rsid w:val="00CA36D6"/>
    <w:rsid w:val="00CB6A27"/>
    <w:rsid w:val="00D06986"/>
    <w:rsid w:val="00D841F2"/>
    <w:rsid w:val="00DC669C"/>
    <w:rsid w:val="00DD1BB5"/>
    <w:rsid w:val="00DE5D0D"/>
    <w:rsid w:val="00E32E57"/>
    <w:rsid w:val="00EE1EC3"/>
    <w:rsid w:val="00F2174E"/>
    <w:rsid w:val="00F42AE0"/>
    <w:rsid w:val="00F92CE3"/>
    <w:rsid w:val="00F94E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69C"/>
  <w15:docId w15:val="{77385340-408E-4D18-BF93-BDCA03B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qFormat/>
  </w:style>
  <w:style w:type="character" w:customStyle="1" w:styleId="division">
    <w:name w:val="division"/>
    <w:basedOn w:val="DefaultParagraphFont"/>
    <w:qFormat/>
  </w:style>
  <w:style w:type="character" w:customStyle="1" w:styleId="syriacunit">
    <w:name w:val="syriac unit"/>
    <w:basedOn w:val="DefaultParagraphFont"/>
    <w:qFormat/>
  </w:style>
  <w:style w:type="character" w:customStyle="1" w:styleId="syriacvariant">
    <w:name w:val="syriac variant"/>
    <w:basedOn w:val="DefaultParagraphFont"/>
    <w:qFormat/>
  </w:style>
  <w:style w:type="character" w:customStyle="1" w:styleId="Hyperlink1">
    <w:name w:val="Hyperlink1"/>
    <w:basedOn w:val="DefaultParagraphFont"/>
    <w:qFormat/>
    <w:rPr>
      <w:color w:val="0000FF"/>
      <w:u w:val="single"/>
    </w:rPr>
  </w:style>
  <w:style w:type="character" w:customStyle="1" w:styleId="versenumber1">
    <w:name w:val="versenumber1"/>
    <w:basedOn w:val="DefaultParagraphFont"/>
    <w:qFormat/>
    <w:rPr>
      <w:color w:val="FF0000"/>
    </w:rPr>
  </w:style>
  <w:style w:type="character" w:styleId="FollowedHyperlink">
    <w:name w:val="FollowedHyperlink"/>
    <w:basedOn w:val="DefaultParagraphFont"/>
    <w:qFormat/>
    <w:rPr>
      <w:color w:val="800080"/>
      <w:u w:val="single"/>
    </w:rPr>
  </w:style>
  <w:style w:type="character" w:customStyle="1" w:styleId="refmarker">
    <w:name w:val="refmarker"/>
    <w:basedOn w:val="DefaultParagraphFont"/>
    <w:qFormat/>
  </w:style>
  <w:style w:type="character" w:customStyle="1" w:styleId="syriac">
    <w:name w:val="syriac"/>
    <w:basedOn w:val="DefaultParagraphFont"/>
    <w:qFormat/>
  </w:style>
  <w:style w:type="character" w:styleId="Hyperlink">
    <w:name w:val="Hyperlink"/>
    <w:rPr>
      <w:color w:val="000080"/>
      <w:u w:val="single"/>
    </w:rPr>
  </w:style>
  <w:style w:type="paragraph" w:customStyle="1" w:styleId="Normal1">
    <w:name w:val="Normal1"/>
    <w:qFormat/>
    <w:pPr>
      <w:suppressAutoHyphens/>
    </w:pPr>
    <w:rPr>
      <w:sz w:val="24"/>
      <w:szCs w:val="24"/>
      <w:lang w:eastAsia="en-US" w:bidi="ar-SA"/>
    </w:rPr>
  </w:style>
  <w:style w:type="paragraph" w:styleId="NormalWeb">
    <w:name w:val="Normal (Web)"/>
    <w:basedOn w:val="Normal1"/>
    <w:qFormat/>
    <w:pPr>
      <w:spacing w:before="100" w:after="100"/>
    </w:pPr>
    <w:rPr>
      <w:lang w:bidi="he-IL"/>
    </w:rPr>
  </w:style>
  <w:style w:type="character" w:customStyle="1" w:styleId="chapternumber1">
    <w:name w:val="chapternumber1"/>
    <w:basedOn w:val="DefaultParagraphFont"/>
    <w:qFormat/>
    <w:rsid w:val="00A05D9D"/>
    <w:rPr>
      <w:color w:val="FF0000"/>
    </w:rPr>
  </w:style>
  <w:style w:type="paragraph" w:customStyle="1" w:styleId="aramaic">
    <w:name w:val="aramaic"/>
    <w:basedOn w:val="Normal"/>
    <w:qFormat/>
    <w:rsid w:val="00A05D9D"/>
    <w:pPr>
      <w:suppressAutoHyphens/>
      <w:bidi/>
      <w:spacing w:beforeAutospacing="1" w:afterAutospacing="1"/>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Shepherd of Hermas</vt:lpstr>
    </vt:vector>
  </TitlesOfParts>
  <Company>Zacchaeus</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Shepherd of Hermas</dc:title>
  <cp:lastModifiedBy>Adrian Hills</cp:lastModifiedBy>
  <cp:revision>1</cp:revision>
  <dcterms:created xsi:type="dcterms:W3CDTF">2025-07-16T19:09:00Z</dcterms:created>
  <dcterms:modified xsi:type="dcterms:W3CDTF">2026-05-16T15:28:00Z</dcterms:modified>
  <cp:category>The Apostolic Fathers (Daaa-Xxx)</cp:category>
  <cp:version>1</cp:version>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2025-07-16T19:09:00Z</dcterms:created>
  <dc:creator/>
  <dc:description/>
  <dc:language>en-GB</dc:language>
  <cp:lastModifiedBy>Adrian Hills</cp:lastModifiedBy>
  <dcterms:modified xsi:type="dcterms:W3CDTF">2025-07-16T19:09:00Z</dcterms:modified>
  <cp:revision>2</cp:revision>
  <dc:subject/>
  <dc:title>The Second Book of Esdras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F402</vt:lpwstr>
  </property>
  <property fmtid="{D5CDD505-2E9C-101B-9397-08002B2CF9AE}" pid="3" name="Source">
    <vt:lpwstr>Online Critical Pseudepigrapha</vt:lpwstr>
  </property>
</Properties>
</file>