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517F" w14:textId="582C8D21" w:rsidR="00DE00C7" w:rsidRPr="00CD3742" w:rsidRDefault="00CD3742">
      <w:pPr>
        <w:keepNext/>
        <w:widowControl w:val="0"/>
        <w:shd w:val="clear" w:color="auto" w:fill="FFFFFF"/>
        <w:suppressAutoHyphens w:val="0"/>
        <w:jc w:val="center"/>
        <w:rPr>
          <w:rFonts w:ascii="Gentium" w:hAnsi="Gentium" w:cs="Gentium"/>
          <w:b/>
          <w:bCs/>
          <w:smallCaps/>
          <w:noProof/>
          <w:sz w:val="32"/>
          <w:szCs w:val="32"/>
          <w:u w:val="single"/>
          <w:lang w:val="la-Latn" w:eastAsia="en-GB" w:bidi="he-IL"/>
        </w:rPr>
      </w:pPr>
      <w:r w:rsidRPr="00CD3742">
        <w:rPr>
          <w:rFonts w:ascii="Gentium" w:hAnsi="Gentium" w:cs="Gentium"/>
          <w:b/>
          <w:bCs/>
          <w:smallCaps/>
          <w:noProof/>
          <w:sz w:val="32"/>
          <w:szCs w:val="32"/>
          <w:u w:val="single"/>
          <w:lang w:val="la-Latn" w:eastAsia="en-GB" w:bidi="he-IL"/>
        </w:rPr>
        <w:t>Cleodemus Malchus</w:t>
      </w:r>
    </w:p>
    <w:p w14:paraId="1DD13A86" w14:textId="402F0ABF" w:rsidR="00DE00C7" w:rsidRDefault="00000000" w:rsidP="00CD3742">
      <w:pPr>
        <w:keepNext/>
        <w:widowControl w:val="0"/>
        <w:shd w:val="clear" w:color="auto" w:fill="FFFFFF"/>
        <w:suppressAutoHyphens w:val="0"/>
        <w:spacing w:before="240"/>
        <w:jc w:val="center"/>
        <w:rPr>
          <w:rFonts w:ascii="Gentium" w:hAnsi="Gentium" w:cs="Gentium"/>
          <w:b/>
          <w:bCs/>
          <w:sz w:val="28"/>
          <w:szCs w:val="28"/>
          <w:lang w:eastAsia="en-GB" w:bidi="he-IL"/>
        </w:rPr>
      </w:pPr>
      <w:r>
        <w:rPr>
          <w:rFonts w:ascii="Gentium" w:hAnsi="Gentium" w:cs="Gentium"/>
          <w:b/>
          <w:bCs/>
          <w:sz w:val="28"/>
          <w:szCs w:val="28"/>
          <w:lang w:eastAsia="en-GB" w:bidi="he-IL"/>
        </w:rPr>
        <w:t>Fragment 1 </w:t>
      </w:r>
    </w:p>
    <w:p w14:paraId="7EBEE1CB" w14:textId="0E180C45" w:rsidR="00DE00C7" w:rsidRDefault="00CD3742" w:rsidP="00CD3742">
      <w:pPr>
        <w:keepNext/>
        <w:widowControl w:val="0"/>
        <w:shd w:val="clear" w:color="auto" w:fill="FFFFFF"/>
        <w:suppressAutoHyphens w:val="0"/>
        <w:spacing w:before="120"/>
        <w:jc w:val="center"/>
        <w:rPr>
          <w:rFonts w:ascii="Gentium" w:hAnsi="Gentium" w:cs="Gentium"/>
          <w:i/>
          <w:iCs/>
          <w:smallCaps/>
          <w:sz w:val="26"/>
          <w:szCs w:val="26"/>
          <w:u w:val="single" w:color="00B050"/>
        </w:rPr>
      </w:pPr>
      <w:r w:rsidRPr="00CD3742">
        <w:rPr>
          <w:rFonts w:ascii="Gentium" w:hAnsi="Gentium" w:cs="Gentium"/>
          <w:i/>
          <w:iCs/>
          <w:smallCaps/>
          <w:sz w:val="26"/>
          <w:szCs w:val="26"/>
          <w:u w:val="single" w:color="00B050"/>
        </w:rPr>
        <w:t>Josephus, Ant. 1.15.1 §239</w:t>
      </w:r>
      <w:r w:rsidR="00D71E87">
        <w:rPr>
          <w:rFonts w:ascii="Gentium" w:hAnsi="Gentium" w:cs="Gentium"/>
          <w:i/>
          <w:iCs/>
          <w:smallCaps/>
          <w:sz w:val="26"/>
          <w:szCs w:val="26"/>
          <w:u w:val="single" w:color="00B050"/>
        </w:rPr>
        <w:t>–</w:t>
      </w:r>
      <w:r w:rsidRPr="00CD3742">
        <w:rPr>
          <w:rFonts w:ascii="Gentium" w:hAnsi="Gentium" w:cs="Gentium"/>
          <w:i/>
          <w:iCs/>
          <w:smallCaps/>
          <w:sz w:val="26"/>
          <w:szCs w:val="26"/>
          <w:u w:val="single" w:color="00B050"/>
        </w:rPr>
        <w:t>241</w:t>
      </w:r>
    </w:p>
    <w:p w14:paraId="7BE93502" w14:textId="104015D9" w:rsidR="00DE00C7" w:rsidRDefault="00000000">
      <w:pPr>
        <w:keepNext/>
        <w:widowControl w:val="0"/>
        <w:shd w:val="clear" w:color="auto" w:fill="FFFFFF"/>
        <w:suppressAutoHyphens w:val="0"/>
        <w:jc w:val="center"/>
        <w:rPr>
          <w:rFonts w:ascii="Gentium" w:hAnsi="Gentium" w:cs="Gentium"/>
          <w:b/>
          <w:bCs/>
          <w:color w:val="7030A0"/>
          <w:sz w:val="28"/>
          <w:szCs w:val="28"/>
          <w:lang w:eastAsia="en-GB" w:bidi="he-IL"/>
        </w:rPr>
      </w:pPr>
      <w:r>
        <w:rPr>
          <w:rFonts w:ascii="Gentium" w:hAnsi="Gentium" w:cs="Gentium"/>
          <w:i/>
          <w:iCs/>
          <w:color w:val="7030A0"/>
          <w:sz w:val="26"/>
          <w:szCs w:val="26"/>
          <w:u w:color="00B050"/>
        </w:rPr>
        <w:t xml:space="preserve">[Translation is that of </w:t>
      </w:r>
      <w:r w:rsidR="00110FFD">
        <w:rPr>
          <w:rFonts w:ascii="Gentium" w:hAnsi="Gentium" w:cs="Gentium"/>
          <w:i/>
          <w:iCs/>
          <w:color w:val="7030A0"/>
          <w:sz w:val="26"/>
          <w:szCs w:val="26"/>
          <w:u w:color="00B050"/>
        </w:rPr>
        <w:t>William Whiston</w:t>
      </w:r>
      <w:r>
        <w:rPr>
          <w:rFonts w:ascii="Gentium" w:hAnsi="Gentium" w:cs="Gentium"/>
          <w:i/>
          <w:iCs/>
          <w:color w:val="7030A0"/>
          <w:sz w:val="26"/>
          <w:szCs w:val="26"/>
          <w:u w:color="00B050"/>
        </w:rPr>
        <w:t xml:space="preserve">, </w:t>
      </w:r>
      <w:r w:rsidR="00110FFD">
        <w:rPr>
          <w:rFonts w:ascii="Gentium" w:hAnsi="Gentium" w:cs="Gentium"/>
          <w:i/>
          <w:iCs/>
          <w:color w:val="7030A0"/>
          <w:sz w:val="26"/>
          <w:szCs w:val="26"/>
          <w:u w:color="00B050"/>
        </w:rPr>
        <w:t>1737</w:t>
      </w:r>
      <w:r>
        <w:rPr>
          <w:rFonts w:ascii="Gentium" w:hAnsi="Gentium" w:cs="Gentium"/>
          <w:i/>
          <w:iCs/>
          <w:color w:val="7030A0"/>
          <w:sz w:val="26"/>
          <w:szCs w:val="26"/>
          <w:u w:color="00B050"/>
        </w:rPr>
        <w:t>.]</w:t>
      </w:r>
    </w:p>
    <w:p w14:paraId="3BE8822D" w14:textId="7B95E5A5" w:rsidR="00612AA7" w:rsidRDefault="00612AA7" w:rsidP="00612AA7">
      <w:pPr>
        <w:shd w:val="clear" w:color="auto" w:fill="FFFFFF"/>
        <w:spacing w:before="60"/>
        <w:jc w:val="both"/>
        <w:rPr>
          <w:rFonts w:ascii="Gentium" w:hAnsi="Gentium" w:cs="Gentium"/>
          <w:color w:val="000000"/>
          <w:lang w:eastAsia="en-GB" w:bidi="he-IL"/>
        </w:rPr>
      </w:pPr>
      <w:r w:rsidRPr="00110FFD">
        <w:rPr>
          <w:rFonts w:ascii="Gentium" w:hAnsi="Gentium" w:cs="Gentium"/>
          <w:b/>
          <w:bCs/>
          <w:color w:val="0070C0"/>
          <w:vertAlign w:val="superscript"/>
          <w:lang w:eastAsia="en-GB" w:bidi="he-IL"/>
        </w:rPr>
        <w:t>2</w:t>
      </w:r>
      <w:r w:rsidR="00110FFD" w:rsidRPr="00110FFD">
        <w:rPr>
          <w:rFonts w:ascii="Gentium" w:hAnsi="Gentium" w:cs="Gentium"/>
          <w:b/>
          <w:bCs/>
          <w:color w:val="0070C0"/>
          <w:vertAlign w:val="superscript"/>
          <w:lang w:eastAsia="en-GB" w:bidi="he-IL"/>
        </w:rPr>
        <w:t>39</w:t>
      </w:r>
      <w:r w:rsidR="00110FFD" w:rsidRPr="00110FFD">
        <w:rPr>
          <w:rFonts w:ascii="Gentium" w:hAnsi="Gentium" w:cs="Gentium"/>
          <w:color w:val="0070C0"/>
          <w:lang w:eastAsia="en-GB" w:bidi="he-IL"/>
        </w:rPr>
        <w:t xml:space="preserve"> </w:t>
      </w:r>
      <w:r w:rsidR="00110FFD" w:rsidRPr="00110FFD">
        <w:rPr>
          <w:rFonts w:ascii="Gentium" w:hAnsi="Gentium" w:cs="Gentium"/>
          <w:color w:val="000000"/>
          <w:lang w:eastAsia="en-GB" w:bidi="he-IL"/>
        </w:rPr>
        <w:t>It is related of this Ophren, that he made war against Libya, and took it, and that his grandchildren, when they inhabited it, called it [from his name] Africa.</w:t>
      </w:r>
      <w:r w:rsidR="00110FFD">
        <w:rPr>
          <w:rFonts w:ascii="Gentium" w:hAnsi="Gentium" w:cs="Gentium"/>
          <w:color w:val="000000"/>
          <w:lang w:eastAsia="en-GB" w:bidi="he-IL"/>
        </w:rPr>
        <w:t xml:space="preserve"> </w:t>
      </w:r>
      <w:r w:rsidR="00110FFD" w:rsidRPr="00110FFD">
        <w:rPr>
          <w:rFonts w:ascii="Gentium" w:hAnsi="Gentium" w:cs="Gentium"/>
          <w:b/>
          <w:bCs/>
          <w:color w:val="0070C0"/>
          <w:vertAlign w:val="superscript"/>
          <w:lang w:eastAsia="en-GB" w:bidi="he-IL"/>
        </w:rPr>
        <w:t>240</w:t>
      </w:r>
      <w:r w:rsidR="00110FFD" w:rsidRPr="00110FFD">
        <w:rPr>
          <w:rFonts w:ascii="Gentium" w:hAnsi="Gentium" w:cs="Gentium"/>
          <w:color w:val="0070C0"/>
          <w:lang w:eastAsia="en-GB" w:bidi="he-IL"/>
        </w:rPr>
        <w:t xml:space="preserve"> </w:t>
      </w:r>
      <w:r w:rsidR="00110FFD" w:rsidRPr="00110FFD">
        <w:rPr>
          <w:rFonts w:ascii="Gentium" w:hAnsi="Gentium" w:cs="Gentium"/>
          <w:color w:val="000000"/>
          <w:lang w:eastAsia="en-GB" w:bidi="he-IL"/>
        </w:rPr>
        <w:t xml:space="preserve">And indeed Alexander Polyhistor gives his attestation to what I here say; who speaks thus: </w:t>
      </w:r>
      <w:r w:rsidR="00110FFD">
        <w:rPr>
          <w:rFonts w:ascii="Gentium" w:hAnsi="Gentium" w:cs="Gentium"/>
          <w:color w:val="000000"/>
          <w:lang w:eastAsia="en-GB" w:bidi="he-IL"/>
        </w:rPr>
        <w:t>“</w:t>
      </w:r>
      <w:r w:rsidR="00110FFD" w:rsidRPr="00110FFD">
        <w:rPr>
          <w:rFonts w:ascii="Gentium" w:hAnsi="Gentium" w:cs="Gentium"/>
          <w:color w:val="000000"/>
          <w:lang w:eastAsia="en-GB" w:bidi="he-IL"/>
        </w:rPr>
        <w:t>Cleodemus the prophet, who was also called Malchus, who wrote a History of the Jews, in agreement with the History of Moses, their legislator, relates, that there were many sons born to Abraham by Keturah</w:t>
      </w:r>
      <w:r w:rsidR="00110FFD">
        <w:rPr>
          <w:rFonts w:ascii="Gentium" w:hAnsi="Gentium" w:cs="Gentium"/>
          <w:color w:val="000000"/>
          <w:lang w:eastAsia="en-GB" w:bidi="he-IL"/>
        </w:rPr>
        <w:t xml:space="preserve">; </w:t>
      </w:r>
      <w:r w:rsidR="00110FFD" w:rsidRPr="00110FFD">
        <w:rPr>
          <w:rFonts w:ascii="Gentium" w:hAnsi="Gentium" w:cs="Gentium"/>
          <w:b/>
          <w:bCs/>
          <w:color w:val="0070C0"/>
          <w:vertAlign w:val="superscript"/>
          <w:lang w:eastAsia="en-GB" w:bidi="he-IL"/>
        </w:rPr>
        <w:t>241</w:t>
      </w:r>
      <w:r w:rsidR="00110FFD" w:rsidRPr="00110FFD">
        <w:rPr>
          <w:rFonts w:ascii="Gentium" w:hAnsi="Gentium" w:cs="Gentium"/>
          <w:color w:val="0070C0"/>
          <w:lang w:eastAsia="en-GB" w:bidi="he-IL"/>
        </w:rPr>
        <w:t xml:space="preserve"> </w:t>
      </w:r>
      <w:r w:rsidR="00110FFD" w:rsidRPr="00110FFD">
        <w:rPr>
          <w:rFonts w:ascii="Gentium" w:hAnsi="Gentium" w:cs="Gentium"/>
          <w:color w:val="000000"/>
          <w:lang w:eastAsia="en-GB" w:bidi="he-IL"/>
        </w:rPr>
        <w:t>nay, he names three of them, Apher, and Surim, and Japhran.</w:t>
      </w:r>
      <w:r w:rsidR="00110FFD">
        <w:rPr>
          <w:rFonts w:ascii="Gentium" w:hAnsi="Gentium" w:cs="Gentium"/>
          <w:color w:val="000000"/>
          <w:lang w:eastAsia="en-GB" w:bidi="he-IL"/>
        </w:rPr>
        <w:t xml:space="preserve"> </w:t>
      </w:r>
      <w:r w:rsidR="00110FFD" w:rsidRPr="00110FFD">
        <w:rPr>
          <w:rFonts w:ascii="Gentium" w:hAnsi="Gentium" w:cs="Gentium"/>
          <w:color w:val="000000"/>
          <w:lang w:eastAsia="en-GB" w:bidi="he-IL"/>
        </w:rPr>
        <w:t>That from Surim was the land of Assyria denominated; and that from the other two [Apher and Japbran] the country of Africa took its name, because these men were auxiliaries to Hercules, when he fought against Libya and Antaeus;</w:t>
      </w:r>
      <w:r w:rsidR="00110FFD">
        <w:rPr>
          <w:rFonts w:ascii="Gentium" w:hAnsi="Gentium" w:cs="Gentium"/>
          <w:color w:val="000000"/>
          <w:lang w:eastAsia="en-GB" w:bidi="he-IL"/>
        </w:rPr>
        <w:t xml:space="preserve"> </w:t>
      </w:r>
      <w:r w:rsidR="00110FFD" w:rsidRPr="00110FFD">
        <w:rPr>
          <w:rFonts w:ascii="Gentium" w:hAnsi="Gentium" w:cs="Gentium"/>
          <w:color w:val="000000"/>
          <w:lang w:eastAsia="en-GB" w:bidi="he-IL"/>
        </w:rPr>
        <w:t>and that Hercules married Aphra</w:t>
      </w:r>
      <w:r w:rsidR="0078353C">
        <w:rPr>
          <w:rFonts w:ascii="Gentium" w:hAnsi="Gentium" w:cs="Gentium"/>
          <w:color w:val="000000"/>
          <w:lang w:eastAsia="en-GB" w:bidi="he-IL"/>
        </w:rPr>
        <w:t>’</w:t>
      </w:r>
      <w:r w:rsidR="00110FFD" w:rsidRPr="00110FFD">
        <w:rPr>
          <w:rFonts w:ascii="Gentium" w:hAnsi="Gentium" w:cs="Gentium"/>
          <w:color w:val="000000"/>
          <w:lang w:eastAsia="en-GB" w:bidi="he-IL"/>
        </w:rPr>
        <w:t>s daughter, and of her he begat a son, Diodorus; and that Sophon was his son, from whom that barbarous people called Sophacians were denominated.</w:t>
      </w:r>
      <w:r w:rsidR="00110FFD">
        <w:rPr>
          <w:rFonts w:ascii="Gentium" w:hAnsi="Gentium" w:cs="Gentium"/>
          <w:color w:val="000000"/>
          <w:lang w:eastAsia="en-GB" w:bidi="he-IL"/>
        </w:rPr>
        <w:t>”</w:t>
      </w:r>
    </w:p>
    <w:p w14:paraId="12765E63" w14:textId="5336D05A" w:rsidR="00DE00C7" w:rsidRDefault="00CD3742" w:rsidP="00CD3742">
      <w:pPr>
        <w:keepNext/>
        <w:widowControl w:val="0"/>
        <w:spacing w:before="120"/>
        <w:jc w:val="center"/>
        <w:rPr>
          <w:rFonts w:ascii="Gentium" w:hAnsi="Gentium" w:cs="Gentium"/>
          <w:i/>
          <w:iCs/>
          <w:smallCaps/>
          <w:sz w:val="26"/>
          <w:szCs w:val="26"/>
          <w:u w:val="single" w:color="00B050"/>
        </w:rPr>
      </w:pPr>
      <w:r w:rsidRPr="00CD3742">
        <w:rPr>
          <w:rFonts w:ascii="Gentium" w:hAnsi="Gentium" w:cs="Gentium"/>
          <w:i/>
          <w:iCs/>
          <w:smallCaps/>
          <w:sz w:val="26"/>
          <w:szCs w:val="26"/>
          <w:u w:val="single" w:color="00B050"/>
        </w:rPr>
        <w:t>Eusebius, Praep. Evang. 9.20.2</w:t>
      </w:r>
      <w:r w:rsidR="00D71E87">
        <w:rPr>
          <w:rFonts w:ascii="Gentium" w:hAnsi="Gentium" w:cs="Gentium"/>
          <w:i/>
          <w:iCs/>
          <w:smallCaps/>
          <w:sz w:val="26"/>
          <w:szCs w:val="26"/>
          <w:u w:val="single" w:color="00B050"/>
        </w:rPr>
        <w:t>–4</w:t>
      </w:r>
    </w:p>
    <w:p w14:paraId="620FB61C" w14:textId="3E3EEB84" w:rsidR="00DE00C7" w:rsidRDefault="00000000">
      <w:pPr>
        <w:keepNext/>
        <w:widowControl w:val="0"/>
        <w:jc w:val="center"/>
        <w:rPr>
          <w:rFonts w:ascii="Gentium" w:hAnsi="Gentium" w:cs="Gentium"/>
          <w:b/>
          <w:bCs/>
          <w:i/>
          <w:iCs/>
          <w:smallCaps/>
          <w:sz w:val="36"/>
          <w:szCs w:val="36"/>
          <w:u w:val="single" w:color="00B050"/>
        </w:rPr>
      </w:pPr>
      <w:r>
        <w:rPr>
          <w:rFonts w:ascii="Gentium" w:hAnsi="Gentium" w:cs="Gentium"/>
          <w:i/>
          <w:iCs/>
          <w:color w:val="7030A0"/>
          <w:sz w:val="26"/>
          <w:szCs w:val="26"/>
          <w:u w:color="00B050"/>
        </w:rPr>
        <w:t>[</w:t>
      </w:r>
      <w:r w:rsidR="000E095C">
        <w:rPr>
          <w:rFonts w:ascii="Gentium" w:hAnsi="Gentium" w:cs="Gentium"/>
          <w:i/>
          <w:iCs/>
          <w:color w:val="7030A0"/>
          <w:sz w:val="26"/>
          <w:szCs w:val="26"/>
          <w:u w:color="00B050"/>
        </w:rPr>
        <w:t>Translation is that of E.H. Gifford, 1903</w:t>
      </w:r>
      <w:r>
        <w:rPr>
          <w:rFonts w:ascii="Gentium" w:hAnsi="Gentium" w:cs="Gentium"/>
          <w:i/>
          <w:iCs/>
          <w:color w:val="7030A0"/>
          <w:sz w:val="26"/>
          <w:szCs w:val="26"/>
          <w:u w:color="00B050"/>
        </w:rPr>
        <w:t>.]</w:t>
      </w:r>
    </w:p>
    <w:p w14:paraId="79D2DE9E" w14:textId="0279C3F8" w:rsidR="00DE00C7" w:rsidRDefault="00612AA7" w:rsidP="00CD3742">
      <w:pPr>
        <w:shd w:val="clear" w:color="auto" w:fill="FFFFFF"/>
        <w:spacing w:before="60"/>
        <w:jc w:val="both"/>
        <w:rPr>
          <w:rFonts w:ascii="Gentium" w:hAnsi="Gentium" w:cs="Gentium"/>
          <w:color w:val="000000"/>
          <w:lang w:eastAsia="en-GB" w:bidi="he-IL"/>
        </w:rPr>
      </w:pPr>
      <w:r w:rsidRPr="00612AA7">
        <w:rPr>
          <w:rFonts w:ascii="Gentium" w:hAnsi="Gentium" w:cs="Gentium"/>
          <w:b/>
          <w:bCs/>
          <w:color w:val="0070C0"/>
          <w:vertAlign w:val="superscript"/>
          <w:lang w:eastAsia="en-GB" w:bidi="he-IL"/>
        </w:rPr>
        <w:t>2</w:t>
      </w:r>
      <w:r w:rsidRPr="00612AA7">
        <w:rPr>
          <w:rFonts w:ascii="Gentium" w:hAnsi="Gentium" w:cs="Gentium"/>
          <w:color w:val="0070C0"/>
          <w:lang w:eastAsia="en-GB" w:bidi="he-IL"/>
        </w:rPr>
        <w:t xml:space="preserve"> </w:t>
      </w:r>
      <w:r w:rsidRPr="00612AA7">
        <w:rPr>
          <w:rFonts w:ascii="Gentium" w:hAnsi="Gentium" w:cs="Gentium"/>
          <w:color w:val="000000"/>
          <w:lang w:eastAsia="en-GB" w:bidi="he-IL"/>
        </w:rPr>
        <w:t xml:space="preserve">This then from the </w:t>
      </w:r>
      <w:r>
        <w:rPr>
          <w:rFonts w:ascii="Gentium" w:hAnsi="Gentium" w:cs="Gentium"/>
          <w:color w:val="000000"/>
          <w:lang w:eastAsia="en-GB" w:bidi="he-IL"/>
        </w:rPr>
        <w:t>a</w:t>
      </w:r>
      <w:r w:rsidRPr="00612AA7">
        <w:rPr>
          <w:rFonts w:ascii="Gentium" w:hAnsi="Gentium" w:cs="Gentium"/>
          <w:color w:val="000000"/>
          <w:lang w:eastAsia="en-GB" w:bidi="he-IL"/>
        </w:rPr>
        <w:t>forementioned work of Polyhistor. But Josephus also in the first book of his Antiquities mentions the same author in the following passage:</w:t>
      </w:r>
      <w:r>
        <w:rPr>
          <w:rFonts w:ascii="Gentium" w:hAnsi="Gentium" w:cs="Gentium"/>
          <w:color w:val="000000"/>
          <w:lang w:eastAsia="en-GB" w:bidi="he-IL"/>
        </w:rPr>
        <w:t xml:space="preserve"> “</w:t>
      </w:r>
      <w:r w:rsidRPr="00612AA7">
        <w:rPr>
          <w:rFonts w:ascii="Gentium" w:hAnsi="Gentium" w:cs="Gentium"/>
          <w:color w:val="000000"/>
          <w:lang w:eastAsia="en-GB" w:bidi="he-IL"/>
        </w:rPr>
        <w:t>Now it is said that this Afren made an expedition into Libya and subdued it; and his grandsons having settled there called the land Africa after his name.</w:t>
      </w:r>
      <w:r>
        <w:rPr>
          <w:rFonts w:ascii="Gentium" w:hAnsi="Gentium" w:cs="Gentium"/>
          <w:color w:val="000000"/>
          <w:lang w:eastAsia="en-GB" w:bidi="he-IL"/>
        </w:rPr>
        <w:t xml:space="preserve">” </w:t>
      </w:r>
      <w:r w:rsidRPr="00612AA7">
        <w:rPr>
          <w:rFonts w:ascii="Gentium" w:hAnsi="Gentium" w:cs="Gentium"/>
          <w:b/>
          <w:bCs/>
          <w:color w:val="0070C0"/>
          <w:vertAlign w:val="superscript"/>
          <w:lang w:eastAsia="en-GB" w:bidi="he-IL"/>
        </w:rPr>
        <w:t>3</w:t>
      </w:r>
      <w:r w:rsidRPr="00612AA7">
        <w:rPr>
          <w:rFonts w:ascii="Gentium" w:hAnsi="Gentium" w:cs="Gentium"/>
          <w:color w:val="0070C0"/>
          <w:lang w:eastAsia="en-GB" w:bidi="he-IL"/>
        </w:rPr>
        <w:t xml:space="preserve"> </w:t>
      </w:r>
      <w:r w:rsidRPr="00612AA7">
        <w:rPr>
          <w:rFonts w:ascii="Gentium" w:hAnsi="Gentium" w:cs="Gentium"/>
          <w:color w:val="000000"/>
          <w:lang w:eastAsia="en-GB" w:bidi="he-IL"/>
        </w:rPr>
        <w:t>And my statement is confirmed by Alexander Polyhistor, who speaks thus:</w:t>
      </w:r>
      <w:r>
        <w:rPr>
          <w:rFonts w:ascii="Gentium" w:hAnsi="Gentium" w:cs="Gentium"/>
          <w:color w:val="000000"/>
          <w:lang w:eastAsia="en-GB" w:bidi="he-IL"/>
        </w:rPr>
        <w:t xml:space="preserve"> “</w:t>
      </w:r>
      <w:r w:rsidRPr="00612AA7">
        <w:rPr>
          <w:rFonts w:ascii="Gentium" w:hAnsi="Gentium" w:cs="Gentium"/>
          <w:color w:val="000000"/>
          <w:lang w:eastAsia="en-GB" w:bidi="he-IL"/>
        </w:rPr>
        <w:t>But Cleodemus the prophet, who is also called Malchas, in narrating the history of the Jews even as Moses their Lawgiver has narrated it, says that by Chettura Abraham had many sons: and he also mentions their names, calling three of them Afer, Assur, and Afran.</w:t>
      </w:r>
      <w:r>
        <w:rPr>
          <w:rFonts w:ascii="Gentium" w:hAnsi="Gentium" w:cs="Gentium"/>
          <w:color w:val="000000"/>
          <w:lang w:eastAsia="en-GB" w:bidi="he-IL"/>
        </w:rPr>
        <w:t xml:space="preserve"> </w:t>
      </w:r>
      <w:r w:rsidRPr="00612AA7">
        <w:rPr>
          <w:rFonts w:ascii="Gentium" w:hAnsi="Gentium" w:cs="Gentium"/>
          <w:b/>
          <w:bCs/>
          <w:color w:val="0070C0"/>
          <w:vertAlign w:val="superscript"/>
          <w:lang w:eastAsia="en-GB" w:bidi="he-IL"/>
        </w:rPr>
        <w:t>4</w:t>
      </w:r>
      <w:r w:rsidRPr="00612AA7">
        <w:rPr>
          <w:rFonts w:ascii="Gentium" w:hAnsi="Gentium" w:cs="Gentium"/>
          <w:color w:val="0070C0"/>
          <w:lang w:eastAsia="en-GB" w:bidi="he-IL"/>
        </w:rPr>
        <w:t xml:space="preserve"> </w:t>
      </w:r>
      <w:r w:rsidRPr="00612AA7">
        <w:rPr>
          <w:rFonts w:ascii="Gentium" w:hAnsi="Gentium" w:cs="Gentium"/>
          <w:color w:val="000000"/>
          <w:lang w:eastAsia="en-GB" w:bidi="he-IL"/>
        </w:rPr>
        <w:t>And from Assur Assyria was named; and from the other two, Afra and Afer, a city Afra and the country Africa. And these,</w:t>
      </w:r>
      <w:r>
        <w:rPr>
          <w:rFonts w:ascii="Gentium" w:hAnsi="Gentium" w:cs="Gentium"/>
          <w:color w:val="000000"/>
          <w:lang w:eastAsia="en-GB" w:bidi="he-IL"/>
        </w:rPr>
        <w:t>”</w:t>
      </w:r>
      <w:r w:rsidRPr="00612AA7">
        <w:rPr>
          <w:rFonts w:ascii="Gentium" w:hAnsi="Gentium" w:cs="Gentium"/>
          <w:color w:val="000000"/>
          <w:lang w:eastAsia="en-GB" w:bidi="he-IL"/>
        </w:rPr>
        <w:t xml:space="preserve"> he says, </w:t>
      </w:r>
      <w:r>
        <w:rPr>
          <w:rFonts w:ascii="Gentium" w:hAnsi="Gentium" w:cs="Gentium"/>
          <w:color w:val="000000"/>
          <w:lang w:eastAsia="en-GB" w:bidi="he-IL"/>
        </w:rPr>
        <w:t>“</w:t>
      </w:r>
      <w:r w:rsidRPr="00612AA7">
        <w:rPr>
          <w:rFonts w:ascii="Gentium" w:hAnsi="Gentium" w:cs="Gentium"/>
          <w:color w:val="000000"/>
          <w:lang w:eastAsia="en-GB" w:bidi="he-IL"/>
        </w:rPr>
        <w:t>joined Hercules in his expedition against Libya and Antaeus</w:t>
      </w:r>
      <w:r>
        <w:rPr>
          <w:rFonts w:ascii="Gentium" w:hAnsi="Gentium" w:cs="Gentium"/>
          <w:color w:val="000000"/>
          <w:lang w:eastAsia="en-GB" w:bidi="he-IL"/>
        </w:rPr>
        <w:t>;</w:t>
      </w:r>
      <w:r w:rsidRPr="00612AA7">
        <w:rPr>
          <w:rFonts w:ascii="Gentium" w:hAnsi="Gentium" w:cs="Gentium"/>
          <w:color w:val="000000"/>
          <w:lang w:eastAsia="en-GB" w:bidi="he-IL"/>
        </w:rPr>
        <w:t xml:space="preserve"> and Hercules</w:t>
      </w:r>
      <w:r>
        <w:rPr>
          <w:rFonts w:ascii="Gentium" w:hAnsi="Gentium" w:cs="Gentium"/>
          <w:color w:val="000000"/>
          <w:lang w:eastAsia="en-GB" w:bidi="he-IL"/>
        </w:rPr>
        <w:t>,</w:t>
      </w:r>
      <w:r w:rsidRPr="00612AA7">
        <w:rPr>
          <w:rFonts w:ascii="Gentium" w:hAnsi="Gentium" w:cs="Gentium"/>
          <w:color w:val="000000"/>
          <w:lang w:eastAsia="en-GB" w:bidi="he-IL"/>
        </w:rPr>
        <w:t xml:space="preserve"> having married the daughter of Afra</w:t>
      </w:r>
      <w:r>
        <w:rPr>
          <w:rFonts w:ascii="Gentium" w:hAnsi="Gentium" w:cs="Gentium"/>
          <w:color w:val="000000"/>
          <w:lang w:eastAsia="en-GB" w:bidi="he-IL"/>
        </w:rPr>
        <w:t>,</w:t>
      </w:r>
      <w:r w:rsidRPr="00612AA7">
        <w:rPr>
          <w:rFonts w:ascii="Gentium" w:hAnsi="Gentium" w:cs="Gentium"/>
          <w:color w:val="000000"/>
          <w:lang w:eastAsia="en-GB" w:bidi="he-IL"/>
        </w:rPr>
        <w:t xml:space="preserve"> begat of her a son Diodorus. And of him was born Sophonas, from whom the barbarian Sophae are called.</w:t>
      </w:r>
      <w:r>
        <w:rPr>
          <w:rFonts w:ascii="Gentium" w:hAnsi="Gentium" w:cs="Gentium"/>
          <w:color w:val="000000"/>
          <w:lang w:eastAsia="en-GB" w:bidi="he-IL"/>
        </w:rPr>
        <w:t xml:space="preserve">” </w:t>
      </w:r>
      <w:r w:rsidRPr="00612AA7">
        <w:rPr>
          <w:rFonts w:ascii="Gentium" w:hAnsi="Gentium" w:cs="Gentium"/>
          <w:color w:val="000000"/>
          <w:lang w:eastAsia="en-GB" w:bidi="he-IL"/>
        </w:rPr>
        <w:t>Let it suffice then that the story of Abraham is briefly set forth in these quotations.</w:t>
      </w:r>
    </w:p>
    <w:sectPr w:rsidR="00DE00C7">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C7"/>
    <w:rsid w:val="00050CB3"/>
    <w:rsid w:val="000E095C"/>
    <w:rsid w:val="00110FFD"/>
    <w:rsid w:val="0015761C"/>
    <w:rsid w:val="001D542D"/>
    <w:rsid w:val="004A3821"/>
    <w:rsid w:val="00612AA7"/>
    <w:rsid w:val="0078353C"/>
    <w:rsid w:val="00855834"/>
    <w:rsid w:val="008E42DE"/>
    <w:rsid w:val="00A451D8"/>
    <w:rsid w:val="00B805CA"/>
    <w:rsid w:val="00CD3742"/>
    <w:rsid w:val="00D71E87"/>
    <w:rsid w:val="00DC567F"/>
    <w:rsid w:val="00DE00C7"/>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BBAEB"/>
  <w15:docId w15:val="{9F5A16B6-3FF6-4004-A528-50B38CE5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paragraph" w:styleId="Heading1">
    <w:name w:val="heading 1"/>
    <w:basedOn w:val="Normal"/>
    <w:qFormat/>
    <w:pPr>
      <w:spacing w:beforeAutospacing="1" w:afterAutospacing="1"/>
      <w:outlineLvl w:val="0"/>
    </w:pPr>
    <w:rPr>
      <w:rFonts w:ascii="Arial Unicode MS" w:eastAsia="Arial Unicode MS" w:hAnsi="Arial Unicode MS" w:cs="Arial Unicode MS"/>
      <w:b/>
      <w:bCs/>
      <w:kern w:val="2"/>
      <w:sz w:val="48"/>
      <w:szCs w:val="48"/>
      <w:lang w:bidi="he-IL"/>
    </w:rPr>
  </w:style>
  <w:style w:type="paragraph" w:styleId="Heading3">
    <w:name w:val="heading 3"/>
    <w:basedOn w:val="Normal"/>
    <w:qFormat/>
    <w:pPr>
      <w:spacing w:beforeAutospacing="1" w:afterAutospacing="1"/>
      <w:outlineLvl w:val="2"/>
    </w:pPr>
    <w:rPr>
      <w:rFonts w:ascii="Arial Unicode MS" w:eastAsia="Arial Unicode MS" w:hAnsi="Arial Unicode MS" w:cs="Arial Unicode MS"/>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semiHidden/>
    <w:qFormat/>
    <w:pPr>
      <w:spacing w:beforeAutospacing="1" w:afterAutospacing="1"/>
    </w:pPr>
    <w:rPr>
      <w:rFonts w:ascii="Arial Unicode MS" w:eastAsia="Arial Unicode MS" w:hAnsi="Arial Unicode MS"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6A77-30BE-4D81-84E5-B6E77E2A5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Artapanus</vt:lpstr>
    </vt:vector>
  </TitlesOfParts>
  <Company>Zacchaeus</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Cleodemus Malchus</dc:title>
  <dc:subject/>
  <dc:description/>
  <cp:lastModifiedBy>Adrian Hills</cp:lastModifiedBy>
  <cp:revision>1</cp:revision>
  <dcterms:created xsi:type="dcterms:W3CDTF">2026-01-30T16:04:00Z</dcterms:created>
  <dcterms:modified xsi:type="dcterms:W3CDTF">2026-01-31T05:57:00Z</dcterms:modified>
  <cp:category>Pseudepigrapha - Fragments (Eddd-Xxx)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R302</vt:lpwstr>
  </property>
  <property fmtid="{D5CDD505-2E9C-101B-9397-08002B2CF9AE}" pid="3" name="Source">
    <vt:lpwstr>Roberts &amp; Donaldson</vt:lpwstr>
  </property>
</Properties>
</file>