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F055" w14:textId="77777777" w:rsidR="00F21057" w:rsidRDefault="00000000">
      <w:pPr>
        <w:keepNext/>
        <w:widowControl w:val="0"/>
        <w:shd w:val="clear" w:color="auto" w:fill="FFFFFF"/>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The Apocryphon of Ezekiel</w:t>
      </w:r>
    </w:p>
    <w:p w14:paraId="65D7CF2F" w14:textId="77777777" w:rsidR="00F21057" w:rsidRDefault="00000000">
      <w:pPr>
        <w:keepNext/>
        <w:widowControl w:val="0"/>
        <w:shd w:val="clear" w:color="auto" w:fill="FFFFFF"/>
        <w:spacing w:before="24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233423E7" w14:textId="6713CABD"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Epiphanius, Panarion, 64.70.5–1</w:t>
      </w:r>
      <w:r w:rsidR="00D22322" w:rsidRPr="004459E7">
        <w:rPr>
          <w:rFonts w:ascii="Gentium" w:hAnsi="Gentium" w:cs="Gentium"/>
          <w:i/>
          <w:iCs/>
          <w:smallCaps/>
          <w:sz w:val="26"/>
          <w:szCs w:val="26"/>
          <w:u w:val="single" w:color="00B050"/>
        </w:rPr>
        <w:t>7 </w:t>
      </w:r>
    </w:p>
    <w:p w14:paraId="225228FD" w14:textId="77777777" w:rsidR="00F21057" w:rsidRDefault="00000000">
      <w:pPr>
        <w:keepNext/>
        <w:widowControl w:val="0"/>
        <w:shd w:val="clear" w:color="auto" w:fill="FFFFFF"/>
        <w:spacing w:before="12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based on that of J.R. Mueller &amp; S.E. Robinson, 1983.]</w:t>
      </w:r>
    </w:p>
    <w:p w14:paraId="44FB441B" w14:textId="6EAB256B"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“For, the dead will be raised and those in the tombs will be lifted up,” speaks the prophet. And also, so that I might not pass over in silence the things mentioned about the resurrection by Ezekiel the prophet in his own apocryphon, I will present them here also. For, speaking enigmatically, he refers to the righteous judgment, in which soul and body share: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A certain king had everyone in his kingdom drafted, and had no civilians except two only: one lame man and one blind man, and each one sat by himself and lived by himself.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when the king was preparing a wedding feast for his own son, he invited all those in his kingdom, but he snubbed the two civilians, the lame man and the blind man. And they were indignant within themselves and resolved to carry out a plot against the king. </w:t>
      </w:r>
      <w:r>
        <w:rPr>
          <w:rFonts w:ascii="Gentium" w:hAnsi="Gentium" w:cs="Gentium"/>
          <w:b/>
          <w:bCs/>
          <w:color w:val="0070C0"/>
          <w:vertAlign w:val="superscript"/>
          <w:lang w:eastAsia="en-GB" w:bidi="he-IL"/>
        </w:rPr>
        <w:t>8 </w:t>
      </w:r>
      <w:r>
        <w:rPr>
          <w:rFonts w:ascii="Gentium" w:hAnsi="Gentium" w:cs="Gentium"/>
          <w:color w:val="000000"/>
          <w:lang w:eastAsia="en-GB" w:bidi="he-IL"/>
        </w:rPr>
        <w:t>Now</w:t>
      </w:r>
      <w:r w:rsidR="004459E7">
        <w:rPr>
          <w:rFonts w:ascii="Gentium" w:hAnsi="Gentium" w:cs="Gentium"/>
          <w:color w:val="000000"/>
          <w:lang w:eastAsia="en-GB" w:bidi="he-IL"/>
        </w:rPr>
        <w:t>,</w:t>
      </w:r>
      <w:r>
        <w:rPr>
          <w:rFonts w:ascii="Gentium" w:hAnsi="Gentium" w:cs="Gentium"/>
          <w:color w:val="000000"/>
          <w:lang w:eastAsia="en-GB" w:bidi="he-IL"/>
        </w:rPr>
        <w:t xml:space="preserve"> the king had a garden and the blind man called out from a distance to the lame man, saying, “How much would our crumb of bread have been among the crowds who were invited to the party? So come on, just as he did to us, let us retaliate (against) him.” </w:t>
      </w:r>
      <w:r>
        <w:rPr>
          <w:rFonts w:ascii="Gentium" w:hAnsi="Gentium" w:cs="Gentium"/>
          <w:b/>
          <w:bCs/>
          <w:color w:val="0070C0"/>
          <w:vertAlign w:val="superscript"/>
          <w:lang w:eastAsia="en-GB" w:bidi="he-IL"/>
        </w:rPr>
        <w:t>9 </w:t>
      </w:r>
      <w:r>
        <w:rPr>
          <w:rFonts w:ascii="Gentium" w:hAnsi="Gentium" w:cs="Gentium"/>
          <w:color w:val="000000"/>
          <w:lang w:eastAsia="en-GB" w:bidi="he-IL"/>
        </w:rPr>
        <w:t xml:space="preserve">But the other asked, “In what way?” And he said, “Let us go into his garden and there destroy the things of the garden.” But he said, “But how can I, being lame and unable to crawl?” And the blind one spoke, “What am I able to do myself, unable to see where I am going? But let us use subterfuge.”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Plucking the grass near him and braiding a rope, he threw (it) to the blind man and said, “Take hold and come along the rope to me.” And he did as he (the lame man) had urged (and), when he approached, he said, “Come to me, be (my) feet and carry me, and I will be your eyes, guiding you from above to the right and left.” </w:t>
      </w:r>
      <w:r>
        <w:rPr>
          <w:rFonts w:ascii="Gentium" w:hAnsi="Gentium" w:cs="Gentium"/>
          <w:b/>
          <w:bCs/>
          <w:color w:val="0070C0"/>
          <w:vertAlign w:val="superscript"/>
          <w:lang w:eastAsia="en-GB" w:bidi="he-IL"/>
        </w:rPr>
        <w:t>11 </w:t>
      </w:r>
      <w:r>
        <w:rPr>
          <w:rFonts w:ascii="Gentium" w:hAnsi="Gentium" w:cs="Gentium"/>
          <w:color w:val="000000"/>
          <w:lang w:eastAsia="en-GB" w:bidi="he-IL"/>
        </w:rPr>
        <w:t>And</w:t>
      </w:r>
      <w:r w:rsidR="004459E7">
        <w:rPr>
          <w:rFonts w:ascii="Gentium" w:hAnsi="Gentium" w:cs="Gentium"/>
          <w:color w:val="000000"/>
          <w:lang w:eastAsia="en-GB" w:bidi="he-IL"/>
        </w:rPr>
        <w:t>,</w:t>
      </w:r>
      <w:r>
        <w:rPr>
          <w:rFonts w:ascii="Gentium" w:hAnsi="Gentium" w:cs="Gentium"/>
          <w:color w:val="000000"/>
          <w:lang w:eastAsia="en-GB" w:bidi="he-IL"/>
        </w:rPr>
        <w:t xml:space="preserve"> doing this</w:t>
      </w:r>
      <w:r w:rsidR="004459E7">
        <w:rPr>
          <w:rFonts w:ascii="Gentium" w:hAnsi="Gentium" w:cs="Gentium"/>
          <w:color w:val="000000"/>
          <w:lang w:eastAsia="en-GB" w:bidi="he-IL"/>
        </w:rPr>
        <w:t>,</w:t>
      </w:r>
      <w:r>
        <w:rPr>
          <w:rFonts w:ascii="Gentium" w:hAnsi="Gentium" w:cs="Gentium"/>
          <w:color w:val="000000"/>
          <w:lang w:eastAsia="en-GB" w:bidi="he-IL"/>
        </w:rPr>
        <w:t xml:space="preserve"> they went down into the garden. Furthermore, whether they damaged or did not damage (anything), nevertheless the footprints were visible in the garden. </w:t>
      </w:r>
      <w:r>
        <w:rPr>
          <w:rFonts w:ascii="Gentium" w:hAnsi="Gentium" w:cs="Gentium"/>
          <w:b/>
          <w:bCs/>
          <w:color w:val="0070C0"/>
          <w:vertAlign w:val="superscript"/>
          <w:lang w:eastAsia="en-GB" w:bidi="he-IL"/>
        </w:rPr>
        <w:t>12 </w:t>
      </w:r>
      <w:r>
        <w:rPr>
          <w:rFonts w:ascii="Gentium" w:hAnsi="Gentium" w:cs="Gentium"/>
          <w:color w:val="000000"/>
          <w:lang w:eastAsia="en-GB" w:bidi="he-IL"/>
        </w:rPr>
        <w:t>Now</w:t>
      </w:r>
      <w:r w:rsidR="004459E7">
        <w:rPr>
          <w:rFonts w:ascii="Gentium" w:hAnsi="Gentium" w:cs="Gentium"/>
          <w:color w:val="000000"/>
          <w:lang w:eastAsia="en-GB" w:bidi="he-IL"/>
        </w:rPr>
        <w:t>,</w:t>
      </w:r>
      <w:r>
        <w:rPr>
          <w:rFonts w:ascii="Gentium" w:hAnsi="Gentium" w:cs="Gentium"/>
          <w:color w:val="000000"/>
          <w:lang w:eastAsia="en-GB" w:bidi="he-IL"/>
        </w:rPr>
        <w:t xml:space="preserve"> when the partygoers dispersed from the wedding feast, going down into the garden</w:t>
      </w:r>
      <w:r w:rsidR="004459E7">
        <w:rPr>
          <w:rFonts w:ascii="Gentium" w:hAnsi="Gentium" w:cs="Gentium"/>
          <w:color w:val="000000"/>
          <w:lang w:eastAsia="en-GB" w:bidi="he-IL"/>
        </w:rPr>
        <w:t>,</w:t>
      </w:r>
      <w:r>
        <w:rPr>
          <w:rFonts w:ascii="Gentium" w:hAnsi="Gentium" w:cs="Gentium"/>
          <w:color w:val="000000"/>
          <w:lang w:eastAsia="en-GB" w:bidi="he-IL"/>
        </w:rPr>
        <w:t xml:space="preserve"> they were amazed to find the footprints in the garden. </w:t>
      </w:r>
      <w:r>
        <w:rPr>
          <w:rFonts w:ascii="Gentium" w:hAnsi="Gentium" w:cs="Gentium"/>
          <w:b/>
          <w:bCs/>
          <w:color w:val="0070C0"/>
          <w:vertAlign w:val="superscript"/>
          <w:lang w:eastAsia="en-GB" w:bidi="he-IL"/>
        </w:rPr>
        <w:t>13 </w:t>
      </w:r>
      <w:r>
        <w:rPr>
          <w:rFonts w:ascii="Gentium" w:hAnsi="Gentium" w:cs="Gentium"/>
          <w:color w:val="000000"/>
          <w:lang w:eastAsia="en-GB" w:bidi="he-IL"/>
        </w:rPr>
        <w:t>And they reported these things to the king, saying, “Everyone in your kingdom is a soldier and no one is a civilian. So</w:t>
      </w:r>
      <w:r w:rsidR="004459E7">
        <w:rPr>
          <w:rFonts w:ascii="Gentium" w:hAnsi="Gentium" w:cs="Gentium"/>
          <w:color w:val="000000"/>
          <w:lang w:eastAsia="en-GB" w:bidi="he-IL"/>
        </w:rPr>
        <w:t>,</w:t>
      </w:r>
      <w:r>
        <w:rPr>
          <w:rFonts w:ascii="Gentium" w:hAnsi="Gentium" w:cs="Gentium"/>
          <w:color w:val="000000"/>
          <w:lang w:eastAsia="en-GB" w:bidi="he-IL"/>
        </w:rPr>
        <w:t xml:space="preserve"> how then are there footprints of civilians in the garden?” And he was astounded. </w:t>
      </w:r>
      <w:r>
        <w:rPr>
          <w:rFonts w:ascii="Gentium" w:hAnsi="Gentium" w:cs="Gentium"/>
          <w:b/>
          <w:bCs/>
          <w:color w:val="0070C0"/>
          <w:vertAlign w:val="superscript"/>
          <w:lang w:eastAsia="en-GB" w:bidi="he-IL"/>
        </w:rPr>
        <w:t>14 </w:t>
      </w:r>
      <w:r>
        <w:rPr>
          <w:rFonts w:ascii="Gentium" w:hAnsi="Gentium" w:cs="Gentium"/>
          <w:color w:val="000000"/>
          <w:lang w:eastAsia="en-GB" w:bidi="he-IL"/>
        </w:rPr>
        <w:t xml:space="preserve">He summoned the lame man and the blind man, and he asked the blind man, “Did you not come down into the garden?” And he replied, “Who, me, lord? You see our inability; you know that I cannot see where I walk.” Then, approaching the lame man, he asked him also, “Did you come down into my garden?” And, answering, he said, “O lord, do you wish to embitter my soul in the matter of my inability?” And, finally, the judgment was delayed. </w:t>
      </w:r>
      <w:r>
        <w:rPr>
          <w:rFonts w:ascii="Gentium" w:hAnsi="Gentium" w:cs="Gentium"/>
          <w:b/>
          <w:bCs/>
          <w:color w:val="0070C0"/>
          <w:vertAlign w:val="superscript"/>
          <w:lang w:eastAsia="en-GB" w:bidi="he-IL"/>
        </w:rPr>
        <w:t>15 </w:t>
      </w:r>
      <w:r>
        <w:rPr>
          <w:rFonts w:ascii="Gentium" w:hAnsi="Gentium" w:cs="Gentium"/>
          <w:color w:val="000000"/>
          <w:lang w:eastAsia="en-GB" w:bidi="he-IL"/>
        </w:rPr>
        <w:t xml:space="preserve">What, then, does the just judge do? Realizing in what manner both had been joined, he places the lame man on the blind man and examines both under the lash. And they are unable to deny; they each convict the other. </w:t>
      </w:r>
      <w:r>
        <w:rPr>
          <w:rFonts w:ascii="Gentium" w:hAnsi="Gentium" w:cs="Gentium"/>
          <w:b/>
          <w:bCs/>
          <w:color w:val="0070C0"/>
          <w:vertAlign w:val="superscript"/>
          <w:lang w:eastAsia="en-GB" w:bidi="he-IL"/>
        </w:rPr>
        <w:t>16 </w:t>
      </w:r>
      <w:r>
        <w:rPr>
          <w:rFonts w:ascii="Gentium" w:hAnsi="Gentium" w:cs="Gentium"/>
          <w:color w:val="000000"/>
          <w:lang w:eastAsia="en-GB" w:bidi="he-IL"/>
        </w:rPr>
        <w:t xml:space="preserve">The lame man on the one hand saying to the blind man, “Did you not carry me and lead me away?” And the blind man to the lame, “Did you yourself not become my eyes?” </w:t>
      </w:r>
      <w:r>
        <w:rPr>
          <w:rFonts w:ascii="Gentium" w:hAnsi="Gentium" w:cs="Gentium"/>
          <w:b/>
          <w:bCs/>
          <w:color w:val="0070C0"/>
          <w:vertAlign w:val="superscript"/>
          <w:lang w:eastAsia="en-GB" w:bidi="he-IL"/>
        </w:rPr>
        <w:t>17 </w:t>
      </w:r>
      <w:r>
        <w:rPr>
          <w:rFonts w:ascii="Gentium" w:hAnsi="Gentium" w:cs="Gentium"/>
          <w:color w:val="000000"/>
          <w:lang w:eastAsia="en-GB" w:bidi="he-IL"/>
        </w:rPr>
        <w:t>In the same way, the body is connected to the soul and the soul to the body, to convict (them) of (their) common deeds. And the judgment becomes final for both body and soul, for the works they have done whether good or evil.</w:t>
      </w:r>
    </w:p>
    <w:p w14:paraId="7670A39C" w14:textId="77777777" w:rsidR="00F21057" w:rsidRDefault="00F21057">
      <w:pPr>
        <w:sectPr w:rsidR="00F21057">
          <w:pgSz w:w="16838" w:h="11906" w:orient="landscape"/>
          <w:pgMar w:top="1418" w:right="1418" w:bottom="1418" w:left="1418" w:header="0" w:footer="0" w:gutter="0"/>
          <w:cols w:space="720"/>
          <w:formProt w:val="0"/>
          <w:docGrid w:linePitch="360"/>
        </w:sectPr>
      </w:pPr>
    </w:p>
    <w:p w14:paraId="5A4195C6"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lastRenderedPageBreak/>
        <w:t>Fragment 2</w:t>
      </w:r>
    </w:p>
    <w:p w14:paraId="211BC1BF" w14:textId="6BAAC89C" w:rsidR="00F21057" w:rsidRPr="004459E7" w:rsidRDefault="00D22322" w:rsidP="004459E7">
      <w:pPr>
        <w:keepNext/>
        <w:widowControl w:val="0"/>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1 Clement 8:4</w:t>
      </w:r>
    </w:p>
    <w:p w14:paraId="40E476AE" w14:textId="77777777" w:rsidR="00F21057" w:rsidRDefault="00000000" w:rsidP="004459E7">
      <w:pPr>
        <w:keepNext/>
        <w:widowControl w:val="0"/>
        <w:spacing w:before="6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J.B. Lightfoot, 1891.]</w:t>
      </w:r>
    </w:p>
    <w:p w14:paraId="17A9D731" w14:textId="74638756"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 Repent, O house of Israel, of your iniquity; say to the sons of My people, </w:t>
      </w:r>
      <w:r w:rsidR="004459E7">
        <w:rPr>
          <w:rFonts w:ascii="Gentium" w:hAnsi="Gentium" w:cs="Gentium"/>
          <w:color w:val="000000"/>
          <w:lang w:eastAsia="en-GB" w:bidi="he-IL"/>
        </w:rPr>
        <w:t>“</w:t>
      </w:r>
      <w:r>
        <w:rPr>
          <w:rFonts w:ascii="Gentium" w:hAnsi="Gentium" w:cs="Gentium"/>
          <w:color w:val="000000"/>
          <w:lang w:eastAsia="en-GB" w:bidi="he-IL"/>
        </w:rPr>
        <w:t xml:space="preserve">Though your sins reach from the earth even to heaven, and though they </w:t>
      </w:r>
      <w:r w:rsidR="004459E7">
        <w:rPr>
          <w:rFonts w:ascii="Gentium" w:hAnsi="Gentium" w:cs="Gentium"/>
          <w:color w:val="000000"/>
          <w:lang w:eastAsia="en-GB" w:bidi="he-IL"/>
        </w:rPr>
        <w:t>are</w:t>
      </w:r>
      <w:r>
        <w:rPr>
          <w:rFonts w:ascii="Gentium" w:hAnsi="Gentium" w:cs="Gentium"/>
          <w:color w:val="000000"/>
          <w:lang w:eastAsia="en-GB" w:bidi="he-IL"/>
        </w:rPr>
        <w:t xml:space="preserve"> redder than scarlet and blacker than sackcloth, and </w:t>
      </w:r>
      <w:r w:rsidR="004459E7">
        <w:rPr>
          <w:rFonts w:ascii="Gentium" w:hAnsi="Gentium" w:cs="Gentium"/>
          <w:color w:val="000000"/>
          <w:lang w:eastAsia="en-GB" w:bidi="he-IL"/>
        </w:rPr>
        <w:t>you</w:t>
      </w:r>
      <w:r>
        <w:rPr>
          <w:rFonts w:ascii="Gentium" w:hAnsi="Gentium" w:cs="Gentium"/>
          <w:color w:val="000000"/>
          <w:lang w:eastAsia="en-GB" w:bidi="he-IL"/>
        </w:rPr>
        <w:t xml:space="preserve"> turn to Me with your whole heart and say</w:t>
      </w:r>
      <w:r w:rsidR="004459E7">
        <w:rPr>
          <w:rFonts w:ascii="Gentium" w:hAnsi="Gentium" w:cs="Gentium"/>
          <w:color w:val="000000"/>
          <w:lang w:eastAsia="en-GB" w:bidi="he-IL"/>
        </w:rPr>
        <w:t>,</w:t>
      </w:r>
      <w:r>
        <w:rPr>
          <w:rFonts w:ascii="Gentium" w:hAnsi="Gentium" w:cs="Gentium"/>
          <w:color w:val="000000"/>
          <w:lang w:eastAsia="en-GB" w:bidi="he-IL"/>
        </w:rPr>
        <w:t xml:space="preserve"> </w:t>
      </w:r>
      <w:r w:rsidR="004459E7">
        <w:rPr>
          <w:rFonts w:ascii="Gentium" w:hAnsi="Gentium" w:cs="Gentium"/>
          <w:color w:val="000000"/>
          <w:lang w:eastAsia="en-GB" w:bidi="he-IL"/>
        </w:rPr>
        <w:t>“</w:t>
      </w:r>
      <w:r>
        <w:rPr>
          <w:rFonts w:ascii="Gentium" w:hAnsi="Gentium" w:cs="Gentium"/>
          <w:color w:val="000000"/>
          <w:lang w:eastAsia="en-GB" w:bidi="he-IL"/>
        </w:rPr>
        <w:t>Father,</w:t>
      </w:r>
      <w:r w:rsidR="004459E7">
        <w:rPr>
          <w:rFonts w:ascii="Gentium" w:hAnsi="Gentium" w:cs="Gentium"/>
          <w:color w:val="000000"/>
          <w:lang w:eastAsia="en-GB" w:bidi="he-IL"/>
        </w:rPr>
        <w:t>”</w:t>
      </w:r>
      <w:r>
        <w:rPr>
          <w:rFonts w:ascii="Gentium" w:hAnsi="Gentium" w:cs="Gentium"/>
          <w:color w:val="000000"/>
          <w:lang w:eastAsia="en-GB" w:bidi="he-IL"/>
        </w:rPr>
        <w:t xml:space="preserve"> I will give ear to you as to a holy people.”</w:t>
      </w:r>
    </w:p>
    <w:p w14:paraId="69B12E71" w14:textId="77777777" w:rsidR="00F21057" w:rsidRPr="004459E7" w:rsidRDefault="00000000" w:rsidP="004459E7">
      <w:pPr>
        <w:keepNext/>
        <w:widowControl w:val="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Paedagogus, 1.10.91.2</w:t>
      </w:r>
    </w:p>
    <w:p w14:paraId="4D4F955E" w14:textId="77777777" w:rsidR="00F21057" w:rsidRDefault="00000000" w:rsidP="004459E7">
      <w:pPr>
        <w:keepNext/>
        <w:widowControl w:val="0"/>
        <w:spacing w:before="6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William Wilson, 1895.]</w:t>
      </w:r>
    </w:p>
    <w:p w14:paraId="01221BB5" w14:textId="2303E204"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For, he says by Ezekiel, “If you return with your whole heart, and say, “Father,” I will hear you, as a holy people.”</w:t>
      </w:r>
    </w:p>
    <w:p w14:paraId="148D9917" w14:textId="77777777" w:rsidR="00F21057" w:rsidRPr="004459E7" w:rsidRDefault="00000000" w:rsidP="004459E7">
      <w:pPr>
        <w:keepNext/>
        <w:widowControl w:val="0"/>
        <w:spacing w:before="18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Quis dives salvetur, 39.4</w:t>
      </w:r>
    </w:p>
    <w:p w14:paraId="1736D2E3" w14:textId="77777777" w:rsidR="00F21057" w:rsidRDefault="00000000" w:rsidP="004459E7">
      <w:pPr>
        <w:keepNext/>
        <w:widowControl w:val="0"/>
        <w:spacing w:before="6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William Wilson, 1895.]</w:t>
      </w:r>
    </w:p>
    <w:p w14:paraId="2D45110A" w14:textId="1B1E2660"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sidR="004459E7">
        <w:rPr>
          <w:rFonts w:ascii="Gentium" w:hAnsi="Gentium" w:cs="Gentium"/>
          <w:color w:val="000000"/>
          <w:lang w:eastAsia="en-GB" w:bidi="he-IL"/>
        </w:rPr>
        <w:t>T</w:t>
      </w:r>
      <w:r>
        <w:rPr>
          <w:rFonts w:ascii="Gentium" w:hAnsi="Gentium" w:cs="Gentium"/>
          <w:color w:val="000000"/>
          <w:lang w:eastAsia="en-GB" w:bidi="he-IL"/>
        </w:rPr>
        <w:t>herefore</w:t>
      </w:r>
      <w:r w:rsidR="004459E7">
        <w:rPr>
          <w:rFonts w:ascii="Gentium" w:hAnsi="Gentium" w:cs="Gentium"/>
          <w:color w:val="000000"/>
          <w:lang w:eastAsia="en-GB" w:bidi="he-IL"/>
        </w:rPr>
        <w:t>,</w:t>
      </w:r>
      <w:r>
        <w:rPr>
          <w:rFonts w:ascii="Gentium" w:hAnsi="Gentium" w:cs="Gentium"/>
          <w:color w:val="000000"/>
          <w:lang w:eastAsia="en-GB" w:bidi="he-IL"/>
        </w:rPr>
        <w:t xml:space="preserve"> also he cries, “I will have mercy, and not sacrifice. I desire not the death but the repentance of the sinner. Though your sins be as scarlet wool, I will make them white as snow; though they be blacker than darkness, I will wash and make them like white wool.”</w:t>
      </w:r>
    </w:p>
    <w:p w14:paraId="4DAB822A" w14:textId="77777777" w:rsidR="00F21057" w:rsidRPr="004459E7" w:rsidRDefault="00000000" w:rsidP="004459E7">
      <w:pPr>
        <w:keepNext/>
        <w:widowControl w:val="0"/>
        <w:spacing w:before="18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Stromata, 7.16.94.2</w:t>
      </w:r>
    </w:p>
    <w:p w14:paraId="47AD5911" w14:textId="77777777" w:rsidR="00F21057" w:rsidRDefault="00000000" w:rsidP="004459E7">
      <w:pPr>
        <w:keepNext/>
        <w:widowControl w:val="0"/>
        <w:spacing w:before="6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based on that suggested by an online tool.]</w:t>
      </w:r>
    </w:p>
    <w:p w14:paraId="603EAE33" w14:textId="63F6D5D4"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This was and that, the writing is done …</w:t>
      </w:r>
    </w:p>
    <w:p w14:paraId="5FADD03D" w14:textId="77777777" w:rsidR="00F21057" w:rsidRDefault="00F21057">
      <w:pPr>
        <w:sectPr w:rsidR="00F21057">
          <w:type w:val="continuous"/>
          <w:pgSz w:w="16838" w:h="11906" w:orient="landscape"/>
          <w:pgMar w:top="1418" w:right="1418" w:bottom="1418" w:left="1418" w:header="0" w:footer="0" w:gutter="0"/>
          <w:cols w:space="720"/>
          <w:formProt w:val="0"/>
          <w:docGrid w:linePitch="360"/>
        </w:sectPr>
      </w:pPr>
    </w:p>
    <w:p w14:paraId="2A1A9BB6"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3</w:t>
      </w:r>
    </w:p>
    <w:p w14:paraId="59D47001"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Epiphanius, Panarion, 30.30.3</w:t>
      </w:r>
    </w:p>
    <w:p w14:paraId="45D9BCDD"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based on that of J.R. Mueller &amp; S.E. Robinson, 1983.]</w:t>
      </w:r>
    </w:p>
    <w:p w14:paraId="4D2F56B5" w14:textId="2DC66702" w:rsidR="00F21057" w:rsidRDefault="00D22322">
      <w:pPr>
        <w:shd w:val="clear" w:color="auto" w:fill="FFFFFF"/>
        <w:spacing w:before="120"/>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And, again, in another place he says, “And the heifer gave birth and they said, “It is not so!”” </w:t>
      </w:r>
    </w:p>
    <w:p w14:paraId="2C1E313A" w14:textId="77777777" w:rsidR="00F21057" w:rsidRPr="004459E7" w:rsidRDefault="00000000" w:rsidP="004459E7">
      <w:pPr>
        <w:keepNext/>
        <w:widowControl w:val="0"/>
        <w:shd w:val="clear" w:color="auto" w:fill="FFFFFF"/>
        <w:spacing w:before="18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Actus Petri cum Simone, 24</w:t>
      </w:r>
    </w:p>
    <w:p w14:paraId="1D533EE3"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M.R. James, 1924.]</w:t>
      </w:r>
    </w:p>
    <w:p w14:paraId="1DA04283" w14:textId="77777777" w:rsidR="00F21057" w:rsidRDefault="00000000">
      <w:pPr>
        <w:shd w:val="clear" w:color="auto" w:fill="FFFFFF"/>
        <w:spacing w:before="120"/>
        <w:jc w:val="both"/>
        <w:rPr>
          <w:rFonts w:ascii="Gentium" w:hAnsi="Gentium" w:cs="Gentium"/>
          <w:color w:val="000000"/>
          <w:lang w:eastAsia="en-GB" w:bidi="he-IL"/>
        </w:rPr>
      </w:pPr>
      <w:r>
        <w:rPr>
          <w:rFonts w:ascii="Gentium" w:hAnsi="Gentium" w:cs="Gentium"/>
          <w:color w:val="000000"/>
          <w:lang w:eastAsia="en-GB" w:bidi="he-IL"/>
        </w:rPr>
        <w:t>And again, he said, “She has brought forth and not brought forth.”</w:t>
      </w:r>
    </w:p>
    <w:p w14:paraId="28247056"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lastRenderedPageBreak/>
        <w:t>Tertullian, De carne Christi 23</w:t>
      </w:r>
    </w:p>
    <w:p w14:paraId="18F6576E"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Alexander Roberts, 1885.]</w:t>
      </w:r>
    </w:p>
    <w:p w14:paraId="3D84D5AD" w14:textId="41CEF874"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We discover, then, what the sign is </w:t>
      </w:r>
      <w:r w:rsidR="004459E7">
        <w:rPr>
          <w:rFonts w:ascii="Gentium" w:hAnsi="Gentium" w:cs="Gentium"/>
          <w:color w:val="000000"/>
          <w:lang w:eastAsia="en-GB" w:bidi="he-IL"/>
        </w:rPr>
        <w:t>that</w:t>
      </w:r>
      <w:r>
        <w:rPr>
          <w:rFonts w:ascii="Gentium" w:hAnsi="Gentium" w:cs="Gentium"/>
          <w:color w:val="000000"/>
          <w:lang w:eastAsia="en-GB" w:bidi="he-IL"/>
        </w:rPr>
        <w:t xml:space="preserve"> is to be spoken against – the conception and the parturition of the Virgin Mary, </w:t>
      </w:r>
      <w:r>
        <w:rPr>
          <w:rFonts w:ascii="Gentium" w:hAnsi="Gentium" w:cs="Gentium"/>
          <w:b/>
          <w:bCs/>
          <w:color w:val="0070C0"/>
          <w:vertAlign w:val="superscript"/>
          <w:lang w:eastAsia="en-GB" w:bidi="he-IL"/>
        </w:rPr>
        <w:t>8 </w:t>
      </w:r>
      <w:r>
        <w:rPr>
          <w:rFonts w:ascii="Gentium" w:hAnsi="Gentium" w:cs="Gentium"/>
          <w:color w:val="000000"/>
          <w:lang w:eastAsia="en-GB" w:bidi="he-IL"/>
        </w:rPr>
        <w:t xml:space="preserve">concerning which these sophists say, “She a virgin and yet not a virgin </w:t>
      </w:r>
      <w:r w:rsidR="004459E7">
        <w:rPr>
          <w:rFonts w:ascii="Gentium" w:hAnsi="Gentium" w:cs="Gentium"/>
          <w:color w:val="000000"/>
          <w:lang w:eastAsia="en-GB" w:bidi="he-IL"/>
        </w:rPr>
        <w:t>bear</w:t>
      </w:r>
      <w:r>
        <w:rPr>
          <w:rFonts w:ascii="Gentium" w:hAnsi="Gentium" w:cs="Gentium"/>
          <w:color w:val="000000"/>
          <w:lang w:eastAsia="en-GB" w:bidi="he-IL"/>
        </w:rPr>
        <w:t>, and yet did not bear …”</w:t>
      </w:r>
    </w:p>
    <w:p w14:paraId="2C0628F6" w14:textId="2F73F889" w:rsidR="00F21057"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w:t>
      </w:r>
      <w:r w:rsidR="00D22322">
        <w:rPr>
          <w:rFonts w:ascii="Gentium" w:hAnsi="Gentium" w:cs="Gentium"/>
          <w:b/>
          <w:bCs/>
          <w:color w:val="0070C0"/>
          <w:vertAlign w:val="superscript"/>
          <w:lang w:eastAsia="en-GB" w:bidi="he-IL"/>
        </w:rPr>
        <w:t>8 </w:t>
      </w:r>
      <w:r>
        <w:rPr>
          <w:rFonts w:ascii="Gentium" w:hAnsi="Gentium" w:cs="Gentium"/>
          <w:color w:val="000000"/>
          <w:lang w:eastAsia="en-GB" w:bidi="he-IL"/>
        </w:rPr>
        <w:t xml:space="preserve">We read in Ezekiel of a heifer which brought forth, </w:t>
      </w:r>
      <w:r>
        <w:rPr>
          <w:rFonts w:ascii="Gentium" w:hAnsi="Gentium" w:cs="Gentium"/>
          <w:b/>
          <w:bCs/>
          <w:color w:val="0070C0"/>
          <w:vertAlign w:val="superscript"/>
          <w:lang w:eastAsia="en-GB" w:bidi="he-IL"/>
        </w:rPr>
        <w:t>2</w:t>
      </w:r>
      <w:r w:rsidR="00D22322">
        <w:rPr>
          <w:rFonts w:ascii="Gentium" w:hAnsi="Gentium" w:cs="Gentium"/>
          <w:b/>
          <w:bCs/>
          <w:color w:val="0070C0"/>
          <w:vertAlign w:val="superscript"/>
          <w:lang w:eastAsia="en-GB" w:bidi="he-IL"/>
        </w:rPr>
        <w:t>9 </w:t>
      </w:r>
      <w:r>
        <w:rPr>
          <w:rFonts w:ascii="Gentium" w:hAnsi="Gentium" w:cs="Gentium"/>
          <w:color w:val="000000"/>
          <w:lang w:eastAsia="en-GB" w:bidi="he-IL"/>
        </w:rPr>
        <w:t>and still did not bring forth.</w:t>
      </w:r>
    </w:p>
    <w:p w14:paraId="035E3A6A"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Gregory of Nyssa, Against the Jews 3</w:t>
      </w:r>
    </w:p>
    <w:p w14:paraId="50F3AE34"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based on that of J.R. Mueller &amp; S.E. Robinson, 1983.]</w:t>
      </w:r>
    </w:p>
    <w:p w14:paraId="2F6ED57C" w14:textId="688C9F81" w:rsidR="00F21057" w:rsidRDefault="00000000">
      <w:pPr>
        <w:shd w:val="clear" w:color="auto" w:fill="FFFFFF"/>
        <w:spacing w:before="120"/>
        <w:rPr>
          <w:rFonts w:ascii="Gentium" w:hAnsi="Gentium" w:cs="Gentium"/>
          <w:color w:val="000000"/>
          <w:lang w:eastAsia="en-GB" w:bidi="he-IL"/>
        </w:rPr>
      </w:pPr>
      <w:r>
        <w:rPr>
          <w:rFonts w:ascii="Gentium" w:hAnsi="Gentium" w:cs="Gentium"/>
          <w:b/>
          <w:bCs/>
          <w:color w:val="0070C0"/>
          <w:vertAlign w:val="superscript"/>
          <w:lang w:eastAsia="en-GB" w:bidi="he-IL"/>
        </w:rPr>
        <w:t>1</w:t>
      </w:r>
      <w:r w:rsidR="00D22322">
        <w:rPr>
          <w:rFonts w:ascii="Gentium" w:hAnsi="Gentium" w:cs="Gentium"/>
          <w:b/>
          <w:bCs/>
          <w:color w:val="0070C0"/>
          <w:vertAlign w:val="superscript"/>
          <w:lang w:eastAsia="en-GB" w:bidi="he-IL"/>
        </w:rPr>
        <w:t>6 </w:t>
      </w:r>
      <w:r>
        <w:rPr>
          <w:rFonts w:ascii="Gentium" w:hAnsi="Gentium" w:cs="Gentium"/>
          <w:color w:val="000000"/>
          <w:lang w:eastAsia="en-GB" w:bidi="he-IL"/>
        </w:rPr>
        <w:t>Behold, the heifer has given birth and has not given birth.</w:t>
      </w:r>
    </w:p>
    <w:p w14:paraId="4A00D2A8" w14:textId="77777777" w:rsidR="00F21057" w:rsidRDefault="00F21057">
      <w:pPr>
        <w:sectPr w:rsidR="00F21057">
          <w:type w:val="continuous"/>
          <w:pgSz w:w="16838" w:h="11906" w:orient="landscape"/>
          <w:pgMar w:top="1418" w:right="1418" w:bottom="1418" w:left="1418" w:header="0" w:footer="0" w:gutter="0"/>
          <w:cols w:space="720"/>
          <w:formProt w:val="0"/>
          <w:docGrid w:linePitch="360"/>
        </w:sectPr>
      </w:pPr>
    </w:p>
    <w:p w14:paraId="1C9E645B"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4</w:t>
      </w:r>
    </w:p>
    <w:p w14:paraId="037CAB10" w14:textId="77777777" w:rsidR="00F21057" w:rsidRPr="004459E7" w:rsidRDefault="00000000">
      <w:pPr>
        <w:keepNext/>
        <w:widowControl w:val="0"/>
        <w:shd w:val="clear" w:color="auto" w:fill="FFFFFF"/>
        <w:spacing w:before="120"/>
        <w:jc w:val="center"/>
        <w:rPr>
          <w:rFonts w:ascii="Gentium" w:hAnsi="Gentium" w:cs="Gentium"/>
          <w:b/>
          <w:bCs/>
          <w:smallCaps/>
          <w:sz w:val="28"/>
          <w:szCs w:val="28"/>
          <w:u w:val="single"/>
          <w:lang w:eastAsia="en-GB" w:bidi="he-IL"/>
        </w:rPr>
      </w:pPr>
      <w:r w:rsidRPr="004459E7">
        <w:rPr>
          <w:rFonts w:ascii="Gentium" w:hAnsi="Gentium" w:cs="Gentium"/>
          <w:i/>
          <w:iCs/>
          <w:smallCaps/>
          <w:sz w:val="26"/>
          <w:szCs w:val="26"/>
          <w:u w:val="single" w:color="00B050"/>
        </w:rPr>
        <w:t>Justin Martyr, Dialogue with Trypho, 47.5</w:t>
      </w:r>
    </w:p>
    <w:p w14:paraId="60BB3A89" w14:textId="1AAA0C6F"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5 </w:t>
      </w:r>
      <w:r>
        <w:rPr>
          <w:rFonts w:ascii="Gentium" w:hAnsi="Gentium" w:cs="Gentium"/>
          <w:color w:val="000000"/>
          <w:lang w:eastAsia="en-GB" w:bidi="he-IL"/>
        </w:rPr>
        <w:t>For, the goodness and the loving-kindness of God, and His boundless riches, hold righteous and sinless the man who, as Ezekiel tells, repents of sins; and reckons sinful, unrighteous, and impious the man who fa</w:t>
      </w:r>
      <w:r w:rsidR="00B3780B">
        <w:rPr>
          <w:rFonts w:ascii="Gentium" w:hAnsi="Gentium" w:cs="Gentium"/>
          <w:color w:val="000000"/>
          <w:lang w:eastAsia="en-GB" w:bidi="he-IL"/>
        </w:rPr>
        <w:t>l</w:t>
      </w:r>
      <w:r>
        <w:rPr>
          <w:rFonts w:ascii="Gentium" w:hAnsi="Gentium" w:cs="Gentium"/>
          <w:color w:val="000000"/>
          <w:lang w:eastAsia="en-GB" w:bidi="he-IL"/>
        </w:rPr>
        <w:t>ls away from piety and righteousness to unrighteousness and ungodliness. Wherefore also our Lord Jesus Christ said, “In whatsoever things I shall take you, in these I shall judge you.”</w:t>
      </w:r>
    </w:p>
    <w:p w14:paraId="09C17CAE"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Quis dives salvetur 40.2</w:t>
      </w:r>
    </w:p>
    <w:p w14:paraId="5ED8C9B2"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1895.]</w:t>
      </w:r>
    </w:p>
    <w:p w14:paraId="3DBE8B21" w14:textId="3D9A5E15"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“For, by the state in which I find you will I judge, …”</w:t>
      </w:r>
    </w:p>
    <w:p w14:paraId="51EC462E" w14:textId="77777777" w:rsidR="00F21057" w:rsidRDefault="00F21057">
      <w:pPr>
        <w:sectPr w:rsidR="00F21057">
          <w:type w:val="continuous"/>
          <w:pgSz w:w="16838" w:h="11906" w:orient="landscape"/>
          <w:pgMar w:top="1418" w:right="1418" w:bottom="1418" w:left="1418" w:header="0" w:footer="0" w:gutter="0"/>
          <w:cols w:space="720"/>
          <w:formProt w:val="0"/>
          <w:docGrid w:linePitch="360"/>
        </w:sectPr>
      </w:pPr>
    </w:p>
    <w:p w14:paraId="704D40B4"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5</w:t>
      </w:r>
    </w:p>
    <w:p w14:paraId="5EB82C1B" w14:textId="77777777" w:rsidR="00F21057" w:rsidRDefault="00000000">
      <w:pPr>
        <w:keepNext/>
        <w:widowControl w:val="0"/>
        <w:shd w:val="clear" w:color="auto" w:fill="FFFFFF"/>
        <w:spacing w:before="120"/>
        <w:jc w:val="center"/>
        <w:rPr>
          <w:rFonts w:ascii="Gentium" w:hAnsi="Gentium" w:cs="Gentium"/>
          <w:i/>
          <w:iCs/>
          <w:smallCaps/>
          <w:sz w:val="26"/>
          <w:szCs w:val="26"/>
          <w:u w:color="00B050"/>
        </w:rPr>
      </w:pPr>
      <w:r>
        <w:rPr>
          <w:rFonts w:ascii="Gentium" w:hAnsi="Gentium" w:cs="Gentium"/>
          <w:i/>
          <w:iCs/>
          <w:smallCaps/>
          <w:sz w:val="26"/>
          <w:szCs w:val="26"/>
          <w:u w:color="00B050"/>
        </w:rPr>
        <w:t>Clement of Alexandria, Paedagogus 1.9.84.2–3</w:t>
      </w:r>
    </w:p>
    <w:p w14:paraId="360C4F48" w14:textId="114A55BA" w:rsidR="004459E7" w:rsidRDefault="004459E7"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1895.]</w:t>
      </w:r>
    </w:p>
    <w:p w14:paraId="5A80E53E" w14:textId="25D53F8F"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He says therefore by Ezekiel, directing his discourse to the elders, and setting before them a salutary description of his wise solicitude, “And that which is lame I will bind up, and that which is sick I will heal, and that which has wandered I will turn back; and I will feed them on my holy mountain.” Such are the promises of the good Shepherd. Feed us, the children, as sheep. </w:t>
      </w:r>
      <w:r>
        <w:rPr>
          <w:rFonts w:ascii="Gentium" w:hAnsi="Gentium" w:cs="Gentium"/>
          <w:b/>
          <w:bCs/>
          <w:color w:val="0070C0"/>
          <w:vertAlign w:val="superscript"/>
          <w:lang w:eastAsia="en-GB" w:bidi="he-IL"/>
        </w:rPr>
        <w:t>3 </w:t>
      </w:r>
      <w:r>
        <w:rPr>
          <w:rFonts w:ascii="Gentium" w:hAnsi="Gentium" w:cs="Gentium"/>
          <w:color w:val="000000"/>
          <w:lang w:eastAsia="en-GB" w:bidi="he-IL"/>
        </w:rPr>
        <w:t>Yea, Master, fill us with righteousness, your own pasture; yea, O Instructor, feed us on your holy mountain, the Church, which towers aloft, which is above the clouds, which touches heaven. “And I will be,” he says, “their Shepherd, and will be near them, as the garment to their skin.”</w:t>
      </w:r>
    </w:p>
    <w:sectPr w:rsidR="00F21057">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57"/>
    <w:rsid w:val="002A747F"/>
    <w:rsid w:val="002E314C"/>
    <w:rsid w:val="004459E7"/>
    <w:rsid w:val="00B3780B"/>
    <w:rsid w:val="00B5017A"/>
    <w:rsid w:val="00B764BD"/>
    <w:rsid w:val="00D22322"/>
    <w:rsid w:val="00DB5277"/>
    <w:rsid w:val="00F2105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B2EF"/>
  <w15:docId w15:val="{E902DD05-393E-4E01-8158-26E0FC99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1014</Words>
  <Characters>5785</Characters>
  <Application>Microsoft Office Word</Application>
  <DocSecurity>0</DocSecurity>
  <Lines>48</Lines>
  <Paragraphs>13</Paragraphs>
  <ScaleCrop>false</ScaleCrop>
  <Company>Zacchaeus</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Apocryphon of Ezekiel</dc:title>
  <dc:subject/>
  <dc:description/>
  <cp:lastModifiedBy>Adrian Hills</cp:lastModifiedBy>
  <cp:revision>1</cp:revision>
  <dcterms:created xsi:type="dcterms:W3CDTF">2026-01-29T10:52:00Z</dcterms:created>
  <dcterms:modified xsi:type="dcterms:W3CDTF">2026-01-31T07:52:00Z</dcterms:modified>
  <cp:category>Pseudepigraph - Fragments (Lnnn-Xxx)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